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907E92">
      <w:pPr>
        <w:spacing w:line="360" w:lineRule="auto"/>
        <w:ind w:firstLine="480"/>
        <w:rPr>
          <w:rFonts w:hint="eastAsia" w:ascii="宋体" w:hAnsi="宋体" w:eastAsia="宋体"/>
          <w:color w:val="000000" w:themeColor="text1"/>
          <w14:textFill>
            <w14:solidFill>
              <w14:schemeClr w14:val="tx1"/>
            </w14:solidFill>
          </w14:textFill>
        </w:rPr>
      </w:pPr>
    </w:p>
    <w:p w14:paraId="08915E63">
      <w:pPr>
        <w:spacing w:line="360" w:lineRule="auto"/>
        <w:ind w:firstLine="480"/>
        <w:jc w:val="center"/>
        <w:rPr>
          <w:rFonts w:hint="eastAsia" w:ascii="宋体" w:hAnsi="宋体" w:eastAsia="宋体" w:cs="宋体"/>
          <w:b/>
          <w:bCs/>
          <w:color w:val="000000" w:themeColor="text1"/>
          <w:sz w:val="30"/>
          <w:szCs w:val="30"/>
          <w14:textFill>
            <w14:solidFill>
              <w14:schemeClr w14:val="tx1"/>
            </w14:solidFill>
          </w14:textFill>
        </w:rPr>
      </w:pPr>
      <w:r>
        <w:rPr>
          <w:rFonts w:hint="eastAsia" w:ascii="宋体" w:hAnsi="宋体" w:eastAsia="宋体" w:cs="宋体"/>
          <w:b/>
          <w:bCs/>
          <w:color w:val="000000" w:themeColor="text1"/>
          <w:sz w:val="30"/>
          <w:szCs w:val="30"/>
          <w14:textFill>
            <w14:solidFill>
              <w14:schemeClr w14:val="tx1"/>
            </w14:solidFill>
          </w14:textFill>
        </w:rPr>
        <w:t>厦门大学嘉庚学院</w:t>
      </w:r>
      <w:r>
        <w:rPr>
          <w:rFonts w:hint="eastAsia" w:ascii="宋体" w:hAnsi="宋体" w:eastAsia="宋体" w:cs="宋体"/>
          <w:b/>
          <w:bCs/>
          <w:color w:val="000000" w:themeColor="text1"/>
          <w:sz w:val="30"/>
          <w:szCs w:val="30"/>
          <w:lang w:val="en-US" w:eastAsia="zh-CN"/>
          <w14:textFill>
            <w14:solidFill>
              <w14:schemeClr w14:val="tx1"/>
            </w14:solidFill>
          </w14:textFill>
        </w:rPr>
        <w:t>理工大楼406网络实验建设方案与评分标准</w:t>
      </w:r>
    </w:p>
    <w:p w14:paraId="5364142D">
      <w:pPr>
        <w:spacing w:line="360" w:lineRule="auto"/>
        <w:ind w:firstLine="48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一、整体布局配置要求</w:t>
      </w:r>
    </w:p>
    <w:p w14:paraId="4166E567">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本网络技术实训室设置10组独立实训实验岛，各组实训区域相互独立、互不干扰，可同时满足多组学生开展网络实训教学、实操演练、技能考核等教学任务。</w:t>
      </w:r>
    </w:p>
    <w:p w14:paraId="237B7F34">
      <w:pPr>
        <w:spacing w:line="360" w:lineRule="auto"/>
        <w:ind w:firstLine="48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二、实训设备配置要求</w:t>
      </w:r>
    </w:p>
    <w:p w14:paraId="53CBBF1D">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 每组实验岛配套1台标准设备机架，就近部署于实验岛旁，满足设备安装、布线调试、学生实操使用需求。</w:t>
      </w:r>
    </w:p>
    <w:p w14:paraId="4A6F917A">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 单组机架内需配套齐全的主流网络实训设备，包含但不限于：路由器、交换机、防火墙、无线控制器、无线AP等设备，设备性能满足高等院校网络技术专业课程实训标准，支持各类基础组网、进阶网络配置实操。</w:t>
      </w:r>
    </w:p>
    <w:p w14:paraId="352CDC46">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 每组实验岛配置若干实训操作PC终端，终端系统稳定、兼容性强，可适配网络设备管理、系统配置、认证调试等全流程实训操作。</w:t>
      </w:r>
    </w:p>
    <w:p w14:paraId="150B32F0">
      <w:pPr>
        <w:spacing w:line="360" w:lineRule="auto"/>
        <w:ind w:firstLine="48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三、网络布线与带外管理要求</w:t>
      </w:r>
    </w:p>
    <w:p w14:paraId="69ADDBEE">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 实训室内部署专用带外管理交换机，搭建独立带外管理网络体系。</w:t>
      </w:r>
    </w:p>
    <w:p w14:paraId="4DDB22E2">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 全屋采用标准化综合布线施工，通过专属VLAN划分方式，实现各实验岛实训PC终端与对应机架网络实训设备的互联互通，完成设备远程管理、配置调试、状态监测等带外管理功能。</w:t>
      </w:r>
    </w:p>
    <w:p w14:paraId="6AD627BE">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 各实验岛网络环境逻辑隔离，避免实训操作相互干扰，保障分组实训教学有序开展。</w:t>
      </w:r>
    </w:p>
    <w:p w14:paraId="34BF9697">
      <w:pPr>
        <w:spacing w:line="360" w:lineRule="auto"/>
        <w:ind w:firstLine="48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四、软件定义网络功能要求</w:t>
      </w:r>
    </w:p>
    <w:p w14:paraId="3500EE5B">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 为实训岛弱电间配备专业级网络控制器，作为实训室核心管控平台，负责全网设备集中纳管与配置调度。</w:t>
      </w:r>
    </w:p>
    <w:p w14:paraId="7FC4E82E">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 控制器支持10租户独立划分能力，可精准对应实训室10组实验岛，为每组实验岛分配独立的SDN网络租户环境，实现分组独立组网、差异化配置、隔离式实训。</w:t>
      </w:r>
    </w:p>
    <w:p w14:paraId="400C25B8">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 控制器平台内置Radius认证服务器模块，无需额外加装第三方服务设备，可完整支撑多类网络安全认证实训项目。</w:t>
      </w:r>
    </w:p>
    <w:p w14:paraId="2D0FEB2C">
      <w:pPr>
        <w:spacing w:line="360" w:lineRule="auto"/>
        <w:ind w:firstLine="48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五、实训安全培训功能扩展要求</w:t>
      </w:r>
    </w:p>
    <w:p w14:paraId="56BDBCF7">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本实训室整体搭建完成后，可全面覆盖网络技术专业核心实训课程，包含但不限于：基础路由交换配置、局域网组网、无线网络部署、防火墙安全策略配置、MAC地址认证、802.1X端口认证、Portal网页认证等实操教学场景，满足日常教学、技能集训、实训考核等多元化使用需求。</w:t>
      </w:r>
    </w:p>
    <w:p w14:paraId="6AF121FC">
      <w:pPr>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为实现上述要求，当前拟定采购清单如下：</w:t>
      </w:r>
    </w:p>
    <w:tbl>
      <w:tblPr>
        <w:tblStyle w:val="11"/>
        <w:tblW w:w="5000" w:type="pct"/>
        <w:tblInd w:w="0" w:type="dxa"/>
        <w:tblLayout w:type="autofit"/>
        <w:tblCellMar>
          <w:top w:w="0" w:type="dxa"/>
          <w:left w:w="108" w:type="dxa"/>
          <w:bottom w:w="0" w:type="dxa"/>
          <w:right w:w="108" w:type="dxa"/>
        </w:tblCellMar>
      </w:tblPr>
      <w:tblGrid>
        <w:gridCol w:w="1226"/>
        <w:gridCol w:w="1610"/>
        <w:gridCol w:w="2507"/>
        <w:gridCol w:w="4017"/>
      </w:tblGrid>
      <w:tr w14:paraId="20FFFA4A">
        <w:tblPrEx>
          <w:tblCellMar>
            <w:top w:w="0" w:type="dxa"/>
            <w:left w:w="108" w:type="dxa"/>
            <w:bottom w:w="0" w:type="dxa"/>
            <w:right w:w="108" w:type="dxa"/>
          </w:tblCellMar>
        </w:tblPrEx>
        <w:trPr>
          <w:trHeight w:val="370"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FFFF00"/>
            <w:vAlign w:val="center"/>
          </w:tcPr>
          <w:p w14:paraId="3FB1BF2D">
            <w:pPr>
              <w:jc w:val="center"/>
              <w:rPr>
                <w:rFonts w:hint="eastAsia" w:ascii="宋体" w:hAnsi="宋体" w:eastAsia="宋体" w:cs="宋体"/>
                <w:color w:val="000000"/>
              </w:rPr>
            </w:pPr>
            <w:r>
              <w:rPr>
                <w:rFonts w:hint="eastAsia" w:ascii="宋体" w:hAnsi="宋体" w:eastAsia="宋体" w:cs="宋体"/>
                <w:color w:val="000000"/>
              </w:rPr>
              <w:t>网络设备(十组)</w:t>
            </w:r>
          </w:p>
        </w:tc>
      </w:tr>
      <w:tr w14:paraId="6CA39D90">
        <w:tblPrEx>
          <w:tblCellMar>
            <w:top w:w="0" w:type="dxa"/>
            <w:left w:w="108" w:type="dxa"/>
            <w:bottom w:w="0" w:type="dxa"/>
            <w:right w:w="108" w:type="dxa"/>
          </w:tblCellMar>
        </w:tblPrEx>
        <w:trPr>
          <w:trHeight w:val="280" w:hRule="atLeast"/>
        </w:trPr>
        <w:tc>
          <w:tcPr>
            <w:tcW w:w="655" w:type="pct"/>
            <w:tcBorders>
              <w:top w:val="nil"/>
              <w:left w:val="single" w:color="auto" w:sz="4" w:space="0"/>
              <w:bottom w:val="single" w:color="auto" w:sz="4" w:space="0"/>
              <w:right w:val="single" w:color="auto" w:sz="4" w:space="0"/>
            </w:tcBorders>
            <w:vAlign w:val="center"/>
          </w:tcPr>
          <w:p w14:paraId="1731B3AA">
            <w:pPr>
              <w:jc w:val="center"/>
              <w:rPr>
                <w:rFonts w:hint="eastAsia" w:ascii="宋体" w:hAnsi="宋体" w:eastAsia="宋体" w:cs="宋体"/>
                <w:color w:val="000000"/>
              </w:rPr>
            </w:pPr>
            <w:r>
              <w:rPr>
                <w:rFonts w:hint="eastAsia" w:ascii="宋体" w:hAnsi="宋体" w:eastAsia="宋体" w:cs="宋体"/>
                <w:color w:val="000000"/>
              </w:rPr>
              <w:t>序号</w:t>
            </w:r>
          </w:p>
        </w:tc>
        <w:tc>
          <w:tcPr>
            <w:tcW w:w="860" w:type="pct"/>
            <w:tcBorders>
              <w:top w:val="nil"/>
              <w:left w:val="nil"/>
              <w:bottom w:val="single" w:color="auto" w:sz="4" w:space="0"/>
              <w:right w:val="single" w:color="auto" w:sz="4" w:space="0"/>
            </w:tcBorders>
            <w:vAlign w:val="center"/>
          </w:tcPr>
          <w:p w14:paraId="68C63EDF">
            <w:pPr>
              <w:jc w:val="center"/>
              <w:rPr>
                <w:rFonts w:hint="eastAsia" w:ascii="宋体" w:hAnsi="宋体" w:eastAsia="宋体" w:cs="宋体"/>
                <w:color w:val="000000"/>
              </w:rPr>
            </w:pPr>
            <w:r>
              <w:rPr>
                <w:rFonts w:hint="eastAsia" w:ascii="宋体" w:hAnsi="宋体" w:eastAsia="宋体" w:cs="宋体"/>
                <w:color w:val="000000"/>
              </w:rPr>
              <w:t>名称</w:t>
            </w:r>
          </w:p>
        </w:tc>
        <w:tc>
          <w:tcPr>
            <w:tcW w:w="1339" w:type="pct"/>
            <w:tcBorders>
              <w:top w:val="nil"/>
              <w:left w:val="nil"/>
              <w:bottom w:val="single" w:color="auto" w:sz="4" w:space="0"/>
              <w:right w:val="single" w:color="auto" w:sz="4" w:space="0"/>
            </w:tcBorders>
            <w:vAlign w:val="center"/>
          </w:tcPr>
          <w:p w14:paraId="1866E11B">
            <w:pPr>
              <w:jc w:val="center"/>
              <w:rPr>
                <w:rFonts w:hint="eastAsia" w:ascii="宋体" w:hAnsi="宋体" w:eastAsia="宋体" w:cs="宋体"/>
                <w:color w:val="000000"/>
              </w:rPr>
            </w:pPr>
            <w:r>
              <w:rPr>
                <w:rFonts w:hint="eastAsia" w:ascii="宋体" w:hAnsi="宋体" w:eastAsia="宋体" w:cs="宋体"/>
                <w:color w:val="000000"/>
              </w:rPr>
              <w:t>数量</w:t>
            </w:r>
          </w:p>
        </w:tc>
        <w:tc>
          <w:tcPr>
            <w:tcW w:w="2144" w:type="pct"/>
            <w:tcBorders>
              <w:top w:val="nil"/>
              <w:left w:val="nil"/>
              <w:bottom w:val="single" w:color="auto" w:sz="4" w:space="0"/>
              <w:right w:val="single" w:color="auto" w:sz="4" w:space="0"/>
            </w:tcBorders>
            <w:vAlign w:val="center"/>
          </w:tcPr>
          <w:p w14:paraId="3DD69875">
            <w:pPr>
              <w:jc w:val="both"/>
              <w:rPr>
                <w:rFonts w:hint="eastAsia" w:ascii="宋体" w:hAnsi="宋体" w:eastAsia="宋体" w:cs="宋体"/>
                <w:color w:val="000000"/>
              </w:rPr>
            </w:pPr>
            <w:r>
              <w:rPr>
                <w:rFonts w:hint="eastAsia" w:ascii="宋体" w:hAnsi="宋体" w:eastAsia="宋体" w:cs="宋体"/>
                <w:color w:val="000000"/>
              </w:rPr>
              <w:t>备注</w:t>
            </w:r>
          </w:p>
        </w:tc>
      </w:tr>
      <w:tr w14:paraId="027405A8">
        <w:tblPrEx>
          <w:tblCellMar>
            <w:top w:w="0" w:type="dxa"/>
            <w:left w:w="108" w:type="dxa"/>
            <w:bottom w:w="0" w:type="dxa"/>
            <w:right w:w="108" w:type="dxa"/>
          </w:tblCellMar>
        </w:tblPrEx>
        <w:trPr>
          <w:trHeight w:val="540" w:hRule="atLeast"/>
        </w:trPr>
        <w:tc>
          <w:tcPr>
            <w:tcW w:w="655" w:type="pct"/>
            <w:tcBorders>
              <w:top w:val="nil"/>
              <w:left w:val="single" w:color="auto" w:sz="4" w:space="0"/>
              <w:bottom w:val="single" w:color="auto" w:sz="4" w:space="0"/>
              <w:right w:val="single" w:color="auto" w:sz="4" w:space="0"/>
            </w:tcBorders>
            <w:vAlign w:val="center"/>
          </w:tcPr>
          <w:p w14:paraId="5BE08E14">
            <w:pPr>
              <w:jc w:val="both"/>
              <w:rPr>
                <w:rFonts w:hint="eastAsia" w:ascii="宋体" w:hAnsi="宋体" w:eastAsia="宋体" w:cs="宋体"/>
                <w:color w:val="000000"/>
              </w:rPr>
            </w:pPr>
            <w:r>
              <w:rPr>
                <w:rFonts w:hint="eastAsia" w:ascii="宋体" w:hAnsi="宋体" w:eastAsia="宋体" w:cs="宋体"/>
                <w:color w:val="000000"/>
              </w:rPr>
              <w:t>1-1</w:t>
            </w:r>
          </w:p>
        </w:tc>
        <w:tc>
          <w:tcPr>
            <w:tcW w:w="860" w:type="pct"/>
            <w:tcBorders>
              <w:top w:val="nil"/>
              <w:left w:val="nil"/>
              <w:bottom w:val="single" w:color="auto" w:sz="4" w:space="0"/>
              <w:right w:val="single" w:color="auto" w:sz="4" w:space="0"/>
            </w:tcBorders>
            <w:vAlign w:val="center"/>
          </w:tcPr>
          <w:p w14:paraId="50B77D57">
            <w:pPr>
              <w:jc w:val="both"/>
              <w:rPr>
                <w:rFonts w:hint="eastAsia" w:ascii="宋体" w:hAnsi="宋体" w:eastAsia="宋体" w:cs="宋体"/>
                <w:color w:val="000000"/>
              </w:rPr>
            </w:pPr>
            <w:r>
              <w:rPr>
                <w:rFonts w:hint="eastAsia" w:ascii="宋体" w:hAnsi="宋体" w:eastAsia="宋体" w:cs="宋体"/>
                <w:color w:val="000000"/>
              </w:rPr>
              <w:t>路由器</w:t>
            </w:r>
          </w:p>
        </w:tc>
        <w:tc>
          <w:tcPr>
            <w:tcW w:w="1339" w:type="pct"/>
            <w:tcBorders>
              <w:top w:val="nil"/>
              <w:left w:val="nil"/>
              <w:bottom w:val="single" w:color="auto" w:sz="4" w:space="0"/>
              <w:right w:val="single" w:color="auto" w:sz="4" w:space="0"/>
            </w:tcBorders>
            <w:vAlign w:val="center"/>
          </w:tcPr>
          <w:p w14:paraId="2A5057E9">
            <w:pPr>
              <w:jc w:val="both"/>
              <w:rPr>
                <w:rFonts w:hint="eastAsia" w:ascii="宋体" w:hAnsi="宋体" w:eastAsia="宋体" w:cs="宋体"/>
                <w:color w:val="000000"/>
              </w:rPr>
            </w:pPr>
            <w:r>
              <w:rPr>
                <w:rFonts w:hint="eastAsia" w:ascii="宋体" w:hAnsi="宋体" w:eastAsia="宋体" w:cs="宋体"/>
                <w:color w:val="000000"/>
              </w:rPr>
              <w:t>3台（含）以上</w:t>
            </w:r>
          </w:p>
        </w:tc>
        <w:tc>
          <w:tcPr>
            <w:tcW w:w="2144" w:type="pct"/>
            <w:tcBorders>
              <w:top w:val="nil"/>
              <w:left w:val="nil"/>
              <w:bottom w:val="single" w:color="auto" w:sz="4" w:space="0"/>
              <w:right w:val="single" w:color="auto" w:sz="4" w:space="0"/>
            </w:tcBorders>
            <w:vAlign w:val="center"/>
          </w:tcPr>
          <w:p w14:paraId="67494F4C">
            <w:pPr>
              <w:jc w:val="both"/>
              <w:rPr>
                <w:rFonts w:hint="eastAsia" w:ascii="宋体" w:hAnsi="宋体" w:eastAsia="宋体" w:cs="宋体"/>
                <w:color w:val="000000"/>
              </w:rPr>
            </w:pPr>
          </w:p>
        </w:tc>
      </w:tr>
      <w:tr w14:paraId="2FECF66D">
        <w:tblPrEx>
          <w:tblCellMar>
            <w:top w:w="0" w:type="dxa"/>
            <w:left w:w="108" w:type="dxa"/>
            <w:bottom w:w="0" w:type="dxa"/>
            <w:right w:w="108" w:type="dxa"/>
          </w:tblCellMar>
        </w:tblPrEx>
        <w:trPr>
          <w:trHeight w:val="540" w:hRule="atLeast"/>
        </w:trPr>
        <w:tc>
          <w:tcPr>
            <w:tcW w:w="655" w:type="pct"/>
            <w:tcBorders>
              <w:top w:val="nil"/>
              <w:left w:val="single" w:color="auto" w:sz="4" w:space="0"/>
              <w:bottom w:val="single" w:color="auto" w:sz="4" w:space="0"/>
              <w:right w:val="single" w:color="auto" w:sz="4" w:space="0"/>
            </w:tcBorders>
            <w:vAlign w:val="center"/>
          </w:tcPr>
          <w:p w14:paraId="3809B8DA">
            <w:pPr>
              <w:jc w:val="both"/>
              <w:rPr>
                <w:rFonts w:hint="eastAsia" w:ascii="宋体" w:hAnsi="宋体" w:eastAsia="宋体" w:cs="宋体"/>
                <w:color w:val="000000"/>
              </w:rPr>
            </w:pPr>
            <w:r>
              <w:rPr>
                <w:rFonts w:hint="eastAsia" w:ascii="宋体" w:hAnsi="宋体" w:eastAsia="宋体" w:cs="宋体"/>
                <w:color w:val="000000"/>
              </w:rPr>
              <w:t>1-2</w:t>
            </w:r>
          </w:p>
        </w:tc>
        <w:tc>
          <w:tcPr>
            <w:tcW w:w="860" w:type="pct"/>
            <w:tcBorders>
              <w:top w:val="nil"/>
              <w:left w:val="nil"/>
              <w:bottom w:val="single" w:color="auto" w:sz="4" w:space="0"/>
              <w:right w:val="single" w:color="auto" w:sz="4" w:space="0"/>
            </w:tcBorders>
            <w:vAlign w:val="center"/>
          </w:tcPr>
          <w:p w14:paraId="68054D3A">
            <w:pPr>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交换机</w:t>
            </w:r>
          </w:p>
        </w:tc>
        <w:tc>
          <w:tcPr>
            <w:tcW w:w="1339" w:type="pct"/>
            <w:tcBorders>
              <w:top w:val="nil"/>
              <w:left w:val="nil"/>
              <w:bottom w:val="single" w:color="auto" w:sz="4" w:space="0"/>
              <w:right w:val="single" w:color="auto" w:sz="4" w:space="0"/>
            </w:tcBorders>
            <w:vAlign w:val="center"/>
          </w:tcPr>
          <w:p w14:paraId="2E70863C">
            <w:pPr>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3台（含）以上</w:t>
            </w:r>
          </w:p>
        </w:tc>
        <w:tc>
          <w:tcPr>
            <w:tcW w:w="2144" w:type="pct"/>
            <w:vMerge w:val="restart"/>
            <w:tcBorders>
              <w:top w:val="nil"/>
              <w:left w:val="nil"/>
              <w:right w:val="single" w:color="auto" w:sz="4" w:space="0"/>
            </w:tcBorders>
            <w:vAlign w:val="center"/>
          </w:tcPr>
          <w:p w14:paraId="4A24E113">
            <w:pPr>
              <w:jc w:val="both"/>
              <w:rPr>
                <w:rFonts w:hint="eastAsia" w:ascii="宋体" w:hAnsi="宋体" w:eastAsia="宋体" w:cs="宋体"/>
                <w:color w:val="FF0000"/>
              </w:rPr>
            </w:pPr>
            <w:r>
              <w:rPr>
                <w:rFonts w:hint="eastAsia" w:ascii="宋体" w:hAnsi="宋体" w:eastAsia="宋体" w:cs="宋体"/>
                <w:color w:val="000000" w:themeColor="text1"/>
                <w14:textFill>
                  <w14:solidFill>
                    <w14:schemeClr w14:val="tx1"/>
                  </w14:solidFill>
                </w14:textFill>
              </w:rPr>
              <w:t>交换机至少含3台三层交换机；</w:t>
            </w:r>
          </w:p>
          <w:p w14:paraId="2DDA6F4F">
            <w:pPr>
              <w:jc w:val="both"/>
              <w:rPr>
                <w:rFonts w:hint="eastAsia" w:ascii="宋体" w:hAnsi="宋体" w:eastAsia="宋体" w:cs="宋体"/>
                <w:color w:val="000000"/>
              </w:rPr>
            </w:pPr>
          </w:p>
        </w:tc>
      </w:tr>
      <w:tr w14:paraId="3E45D723">
        <w:tblPrEx>
          <w:tblCellMar>
            <w:top w:w="0" w:type="dxa"/>
            <w:left w:w="108" w:type="dxa"/>
            <w:bottom w:w="0" w:type="dxa"/>
            <w:right w:w="108" w:type="dxa"/>
          </w:tblCellMar>
        </w:tblPrEx>
        <w:trPr>
          <w:trHeight w:val="540" w:hRule="atLeast"/>
        </w:trPr>
        <w:tc>
          <w:tcPr>
            <w:tcW w:w="655" w:type="pct"/>
            <w:tcBorders>
              <w:top w:val="nil"/>
              <w:left w:val="single" w:color="auto" w:sz="4" w:space="0"/>
              <w:bottom w:val="single" w:color="auto" w:sz="4" w:space="0"/>
              <w:right w:val="single" w:color="auto" w:sz="4" w:space="0"/>
            </w:tcBorders>
            <w:vAlign w:val="center"/>
          </w:tcPr>
          <w:p w14:paraId="30B68D70">
            <w:pPr>
              <w:jc w:val="both"/>
              <w:rPr>
                <w:rFonts w:hint="eastAsia" w:ascii="宋体" w:hAnsi="宋体" w:eastAsia="宋体" w:cs="宋体"/>
                <w:color w:val="000000"/>
              </w:rPr>
            </w:pPr>
            <w:r>
              <w:rPr>
                <w:rFonts w:hint="eastAsia" w:ascii="宋体" w:hAnsi="宋体" w:eastAsia="宋体" w:cs="宋体"/>
                <w:color w:val="000000"/>
              </w:rPr>
              <w:t>1-3</w:t>
            </w:r>
          </w:p>
        </w:tc>
        <w:tc>
          <w:tcPr>
            <w:tcW w:w="860" w:type="pct"/>
            <w:tcBorders>
              <w:top w:val="nil"/>
              <w:left w:val="nil"/>
              <w:bottom w:val="single" w:color="auto" w:sz="4" w:space="0"/>
              <w:right w:val="single" w:color="auto" w:sz="4" w:space="0"/>
            </w:tcBorders>
            <w:vAlign w:val="center"/>
          </w:tcPr>
          <w:p w14:paraId="665CD35B">
            <w:pPr>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24口POE交换机</w:t>
            </w:r>
          </w:p>
        </w:tc>
        <w:tc>
          <w:tcPr>
            <w:tcW w:w="1339" w:type="pct"/>
            <w:tcBorders>
              <w:top w:val="nil"/>
              <w:left w:val="nil"/>
              <w:bottom w:val="single" w:color="auto" w:sz="4" w:space="0"/>
              <w:right w:val="single" w:color="auto" w:sz="4" w:space="0"/>
            </w:tcBorders>
            <w:vAlign w:val="center"/>
          </w:tcPr>
          <w:p w14:paraId="122549D0">
            <w:pPr>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2台（含）以上</w:t>
            </w:r>
          </w:p>
        </w:tc>
        <w:tc>
          <w:tcPr>
            <w:tcW w:w="2144" w:type="pct"/>
            <w:vMerge w:val="continue"/>
            <w:tcBorders>
              <w:left w:val="nil"/>
              <w:bottom w:val="single" w:color="auto" w:sz="4" w:space="0"/>
              <w:right w:val="single" w:color="auto" w:sz="4" w:space="0"/>
            </w:tcBorders>
            <w:vAlign w:val="center"/>
          </w:tcPr>
          <w:p w14:paraId="3B8D7ECA">
            <w:pPr>
              <w:jc w:val="both"/>
              <w:rPr>
                <w:rFonts w:hint="eastAsia" w:ascii="宋体" w:hAnsi="宋体" w:eastAsia="宋体" w:cs="宋体"/>
                <w:color w:val="000000"/>
              </w:rPr>
            </w:pPr>
          </w:p>
        </w:tc>
      </w:tr>
      <w:tr w14:paraId="730BE45C">
        <w:tblPrEx>
          <w:tblCellMar>
            <w:top w:w="0" w:type="dxa"/>
            <w:left w:w="108" w:type="dxa"/>
            <w:bottom w:w="0" w:type="dxa"/>
            <w:right w:w="108" w:type="dxa"/>
          </w:tblCellMar>
        </w:tblPrEx>
        <w:trPr>
          <w:trHeight w:val="540" w:hRule="atLeast"/>
        </w:trPr>
        <w:tc>
          <w:tcPr>
            <w:tcW w:w="655" w:type="pct"/>
            <w:tcBorders>
              <w:top w:val="nil"/>
              <w:left w:val="single" w:color="auto" w:sz="4" w:space="0"/>
              <w:bottom w:val="single" w:color="auto" w:sz="4" w:space="0"/>
              <w:right w:val="single" w:color="auto" w:sz="4" w:space="0"/>
            </w:tcBorders>
            <w:vAlign w:val="center"/>
          </w:tcPr>
          <w:p w14:paraId="185B25B2">
            <w:pPr>
              <w:jc w:val="both"/>
              <w:rPr>
                <w:rFonts w:hint="eastAsia" w:ascii="宋体" w:hAnsi="宋体" w:eastAsia="宋体" w:cs="宋体"/>
                <w:color w:val="000000"/>
              </w:rPr>
            </w:pPr>
            <w:r>
              <w:rPr>
                <w:rFonts w:hint="eastAsia" w:ascii="宋体" w:hAnsi="宋体" w:eastAsia="宋体" w:cs="宋体"/>
                <w:color w:val="000000"/>
              </w:rPr>
              <w:t>1-4</w:t>
            </w:r>
          </w:p>
        </w:tc>
        <w:tc>
          <w:tcPr>
            <w:tcW w:w="860" w:type="pct"/>
            <w:tcBorders>
              <w:top w:val="nil"/>
              <w:left w:val="nil"/>
              <w:bottom w:val="single" w:color="auto" w:sz="4" w:space="0"/>
              <w:right w:val="single" w:color="auto" w:sz="4" w:space="0"/>
            </w:tcBorders>
            <w:vAlign w:val="center"/>
          </w:tcPr>
          <w:p w14:paraId="7BC1D82E">
            <w:pPr>
              <w:jc w:val="both"/>
              <w:rPr>
                <w:rFonts w:hint="eastAsia" w:ascii="宋体" w:hAnsi="宋体" w:eastAsia="宋体" w:cs="宋体"/>
                <w:color w:val="000000"/>
              </w:rPr>
            </w:pPr>
            <w:r>
              <w:rPr>
                <w:rFonts w:hint="eastAsia" w:ascii="宋体" w:hAnsi="宋体" w:eastAsia="宋体" w:cs="宋体"/>
                <w:color w:val="000000"/>
              </w:rPr>
              <w:t>防火墙</w:t>
            </w:r>
          </w:p>
        </w:tc>
        <w:tc>
          <w:tcPr>
            <w:tcW w:w="1339" w:type="pct"/>
            <w:tcBorders>
              <w:top w:val="nil"/>
              <w:left w:val="nil"/>
              <w:bottom w:val="single" w:color="auto" w:sz="4" w:space="0"/>
              <w:right w:val="single" w:color="auto" w:sz="4" w:space="0"/>
            </w:tcBorders>
            <w:vAlign w:val="center"/>
          </w:tcPr>
          <w:p w14:paraId="568F5798">
            <w:pPr>
              <w:jc w:val="both"/>
              <w:rPr>
                <w:rFonts w:hint="eastAsia" w:ascii="宋体" w:hAnsi="宋体" w:eastAsia="宋体" w:cs="宋体"/>
                <w:color w:val="000000"/>
              </w:rPr>
            </w:pPr>
            <w:r>
              <w:rPr>
                <w:rFonts w:hint="eastAsia" w:ascii="宋体" w:hAnsi="宋体" w:eastAsia="宋体" w:cs="宋体"/>
                <w:color w:val="000000"/>
              </w:rPr>
              <w:t>1台（含）以上</w:t>
            </w:r>
          </w:p>
        </w:tc>
        <w:tc>
          <w:tcPr>
            <w:tcW w:w="2144" w:type="pct"/>
            <w:tcBorders>
              <w:top w:val="nil"/>
              <w:left w:val="nil"/>
              <w:bottom w:val="single" w:color="auto" w:sz="4" w:space="0"/>
              <w:right w:val="single" w:color="auto" w:sz="4" w:space="0"/>
            </w:tcBorders>
            <w:vAlign w:val="center"/>
          </w:tcPr>
          <w:p w14:paraId="542037DC">
            <w:pPr>
              <w:jc w:val="both"/>
              <w:rPr>
                <w:rFonts w:hint="eastAsia" w:ascii="宋体" w:hAnsi="宋体" w:eastAsia="宋体" w:cs="宋体"/>
                <w:color w:val="000000"/>
              </w:rPr>
            </w:pPr>
          </w:p>
        </w:tc>
      </w:tr>
      <w:tr w14:paraId="52525D43">
        <w:tblPrEx>
          <w:tblCellMar>
            <w:top w:w="0" w:type="dxa"/>
            <w:left w:w="108" w:type="dxa"/>
            <w:bottom w:w="0" w:type="dxa"/>
            <w:right w:w="108" w:type="dxa"/>
          </w:tblCellMar>
        </w:tblPrEx>
        <w:trPr>
          <w:trHeight w:val="540" w:hRule="atLeast"/>
        </w:trPr>
        <w:tc>
          <w:tcPr>
            <w:tcW w:w="655" w:type="pct"/>
            <w:tcBorders>
              <w:top w:val="nil"/>
              <w:left w:val="single" w:color="auto" w:sz="4" w:space="0"/>
              <w:bottom w:val="single" w:color="auto" w:sz="4" w:space="0"/>
              <w:right w:val="single" w:color="auto" w:sz="4" w:space="0"/>
            </w:tcBorders>
            <w:vAlign w:val="center"/>
          </w:tcPr>
          <w:p w14:paraId="2A449DC7">
            <w:pPr>
              <w:jc w:val="both"/>
              <w:rPr>
                <w:rFonts w:hint="eastAsia" w:ascii="宋体" w:hAnsi="宋体" w:eastAsia="宋体" w:cs="宋体"/>
                <w:color w:val="000000"/>
              </w:rPr>
            </w:pPr>
            <w:r>
              <w:rPr>
                <w:rFonts w:hint="eastAsia" w:ascii="宋体" w:hAnsi="宋体" w:eastAsia="宋体" w:cs="宋体"/>
                <w:color w:val="000000"/>
              </w:rPr>
              <w:t>1-5</w:t>
            </w:r>
          </w:p>
        </w:tc>
        <w:tc>
          <w:tcPr>
            <w:tcW w:w="860" w:type="pct"/>
            <w:tcBorders>
              <w:top w:val="nil"/>
              <w:left w:val="nil"/>
              <w:bottom w:val="single" w:color="auto" w:sz="4" w:space="0"/>
              <w:right w:val="single" w:color="auto" w:sz="4" w:space="0"/>
            </w:tcBorders>
            <w:vAlign w:val="center"/>
          </w:tcPr>
          <w:p w14:paraId="2565949D">
            <w:pPr>
              <w:jc w:val="both"/>
              <w:rPr>
                <w:rFonts w:hint="eastAsia" w:ascii="宋体" w:hAnsi="宋体" w:eastAsia="宋体" w:cs="宋体"/>
                <w:color w:val="000000"/>
              </w:rPr>
            </w:pPr>
            <w:r>
              <w:rPr>
                <w:rFonts w:hint="eastAsia" w:ascii="宋体" w:hAnsi="宋体" w:eastAsia="宋体" w:cs="宋体"/>
                <w:color w:val="000000"/>
              </w:rPr>
              <w:t>无线AC</w:t>
            </w:r>
          </w:p>
        </w:tc>
        <w:tc>
          <w:tcPr>
            <w:tcW w:w="1339" w:type="pct"/>
            <w:tcBorders>
              <w:top w:val="nil"/>
              <w:left w:val="nil"/>
              <w:bottom w:val="single" w:color="auto" w:sz="4" w:space="0"/>
              <w:right w:val="single" w:color="auto" w:sz="4" w:space="0"/>
            </w:tcBorders>
            <w:vAlign w:val="center"/>
          </w:tcPr>
          <w:p w14:paraId="45032327">
            <w:pPr>
              <w:jc w:val="both"/>
              <w:rPr>
                <w:rFonts w:hint="eastAsia" w:ascii="宋体" w:hAnsi="宋体" w:eastAsia="宋体" w:cs="宋体"/>
                <w:color w:val="000000"/>
              </w:rPr>
            </w:pPr>
            <w:r>
              <w:rPr>
                <w:rFonts w:hint="eastAsia" w:ascii="宋体" w:hAnsi="宋体" w:eastAsia="宋体" w:cs="宋体"/>
                <w:color w:val="000000"/>
              </w:rPr>
              <w:t>1台（含）以上</w:t>
            </w:r>
          </w:p>
        </w:tc>
        <w:tc>
          <w:tcPr>
            <w:tcW w:w="2144" w:type="pct"/>
            <w:tcBorders>
              <w:top w:val="nil"/>
              <w:left w:val="nil"/>
              <w:bottom w:val="single" w:color="auto" w:sz="4" w:space="0"/>
              <w:right w:val="single" w:color="auto" w:sz="4" w:space="0"/>
            </w:tcBorders>
            <w:vAlign w:val="center"/>
          </w:tcPr>
          <w:p w14:paraId="24685A06">
            <w:pPr>
              <w:jc w:val="both"/>
              <w:rPr>
                <w:rFonts w:hint="eastAsia" w:ascii="宋体" w:hAnsi="宋体" w:eastAsia="宋体" w:cs="宋体"/>
                <w:color w:val="000000"/>
              </w:rPr>
            </w:pPr>
          </w:p>
        </w:tc>
      </w:tr>
      <w:tr w14:paraId="0D2ACAB4">
        <w:tblPrEx>
          <w:tblCellMar>
            <w:top w:w="0" w:type="dxa"/>
            <w:left w:w="108" w:type="dxa"/>
            <w:bottom w:w="0" w:type="dxa"/>
            <w:right w:w="108" w:type="dxa"/>
          </w:tblCellMar>
        </w:tblPrEx>
        <w:trPr>
          <w:trHeight w:val="540" w:hRule="atLeast"/>
        </w:trPr>
        <w:tc>
          <w:tcPr>
            <w:tcW w:w="655" w:type="pct"/>
            <w:tcBorders>
              <w:top w:val="nil"/>
              <w:left w:val="single" w:color="auto" w:sz="4" w:space="0"/>
              <w:bottom w:val="single" w:color="auto" w:sz="4" w:space="0"/>
              <w:right w:val="single" w:color="auto" w:sz="4" w:space="0"/>
            </w:tcBorders>
            <w:vAlign w:val="center"/>
          </w:tcPr>
          <w:p w14:paraId="3CD0BF50">
            <w:pPr>
              <w:jc w:val="both"/>
              <w:rPr>
                <w:rFonts w:hint="eastAsia" w:ascii="宋体" w:hAnsi="宋体" w:eastAsia="宋体" w:cs="宋体"/>
                <w:color w:val="000000"/>
              </w:rPr>
            </w:pPr>
            <w:r>
              <w:rPr>
                <w:rFonts w:hint="eastAsia" w:ascii="宋体" w:hAnsi="宋体" w:eastAsia="宋体" w:cs="宋体"/>
                <w:color w:val="000000"/>
              </w:rPr>
              <w:t>1-6</w:t>
            </w:r>
          </w:p>
        </w:tc>
        <w:tc>
          <w:tcPr>
            <w:tcW w:w="860" w:type="pct"/>
            <w:tcBorders>
              <w:top w:val="nil"/>
              <w:left w:val="nil"/>
              <w:bottom w:val="single" w:color="auto" w:sz="4" w:space="0"/>
              <w:right w:val="single" w:color="auto" w:sz="4" w:space="0"/>
            </w:tcBorders>
            <w:vAlign w:val="center"/>
          </w:tcPr>
          <w:p w14:paraId="2F483016">
            <w:pPr>
              <w:jc w:val="both"/>
              <w:rPr>
                <w:rFonts w:hint="eastAsia" w:ascii="宋体" w:hAnsi="宋体" w:eastAsia="宋体" w:cs="宋体"/>
                <w:color w:val="000000"/>
              </w:rPr>
            </w:pPr>
            <w:r>
              <w:rPr>
                <w:rFonts w:hint="eastAsia" w:ascii="宋体" w:hAnsi="宋体" w:eastAsia="宋体" w:cs="宋体"/>
                <w:color w:val="000000"/>
              </w:rPr>
              <w:t>无线AP</w:t>
            </w:r>
          </w:p>
        </w:tc>
        <w:tc>
          <w:tcPr>
            <w:tcW w:w="1339" w:type="pct"/>
            <w:tcBorders>
              <w:top w:val="nil"/>
              <w:left w:val="nil"/>
              <w:bottom w:val="single" w:color="auto" w:sz="4" w:space="0"/>
              <w:right w:val="single" w:color="auto" w:sz="4" w:space="0"/>
            </w:tcBorders>
            <w:vAlign w:val="center"/>
          </w:tcPr>
          <w:p w14:paraId="7F699587">
            <w:pPr>
              <w:jc w:val="both"/>
              <w:rPr>
                <w:rFonts w:hint="eastAsia" w:ascii="宋体" w:hAnsi="宋体" w:eastAsia="宋体" w:cs="宋体"/>
                <w:color w:val="000000"/>
              </w:rPr>
            </w:pPr>
            <w:r>
              <w:rPr>
                <w:rFonts w:hint="eastAsia" w:ascii="宋体" w:hAnsi="宋体" w:eastAsia="宋体" w:cs="宋体"/>
                <w:color w:val="000000"/>
              </w:rPr>
              <w:t>2台（含）以上</w:t>
            </w:r>
          </w:p>
        </w:tc>
        <w:tc>
          <w:tcPr>
            <w:tcW w:w="2144" w:type="pct"/>
            <w:tcBorders>
              <w:top w:val="nil"/>
              <w:left w:val="nil"/>
              <w:bottom w:val="single" w:color="auto" w:sz="4" w:space="0"/>
              <w:right w:val="single" w:color="auto" w:sz="4" w:space="0"/>
            </w:tcBorders>
            <w:vAlign w:val="center"/>
          </w:tcPr>
          <w:p w14:paraId="109A5E92">
            <w:pPr>
              <w:jc w:val="both"/>
              <w:rPr>
                <w:rFonts w:hint="eastAsia" w:ascii="宋体" w:hAnsi="宋体" w:eastAsia="宋体" w:cs="宋体"/>
                <w:color w:val="000000"/>
              </w:rPr>
            </w:pPr>
          </w:p>
        </w:tc>
      </w:tr>
      <w:tr w14:paraId="7FF9CAE5">
        <w:tblPrEx>
          <w:tblCellMar>
            <w:top w:w="0" w:type="dxa"/>
            <w:left w:w="108" w:type="dxa"/>
            <w:bottom w:w="0" w:type="dxa"/>
            <w:right w:w="108" w:type="dxa"/>
          </w:tblCellMar>
        </w:tblPrEx>
        <w:trPr>
          <w:trHeight w:val="280"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FFFF00"/>
            <w:vAlign w:val="center"/>
          </w:tcPr>
          <w:p w14:paraId="3DAF0FB1">
            <w:pPr>
              <w:jc w:val="center"/>
              <w:rPr>
                <w:rFonts w:hint="eastAsia" w:ascii="宋体" w:hAnsi="宋体" w:eastAsia="宋体" w:cs="宋体"/>
                <w:color w:val="000000"/>
              </w:rPr>
            </w:pPr>
            <w:r>
              <w:rPr>
                <w:rFonts w:hint="eastAsia" w:ascii="宋体" w:hAnsi="宋体" w:eastAsia="宋体" w:cs="宋体"/>
                <w:color w:val="000000"/>
              </w:rPr>
              <w:t>网管平台及控制器(一组)</w:t>
            </w:r>
          </w:p>
        </w:tc>
      </w:tr>
      <w:tr w14:paraId="593A1DA0">
        <w:tblPrEx>
          <w:tblCellMar>
            <w:top w:w="0" w:type="dxa"/>
            <w:left w:w="108" w:type="dxa"/>
            <w:bottom w:w="0" w:type="dxa"/>
            <w:right w:w="108" w:type="dxa"/>
          </w:tblCellMar>
        </w:tblPrEx>
        <w:trPr>
          <w:trHeight w:val="280" w:hRule="atLeast"/>
        </w:trPr>
        <w:tc>
          <w:tcPr>
            <w:tcW w:w="655" w:type="pct"/>
            <w:tcBorders>
              <w:top w:val="nil"/>
              <w:left w:val="single" w:color="auto" w:sz="4" w:space="0"/>
              <w:bottom w:val="single" w:color="auto" w:sz="4" w:space="0"/>
              <w:right w:val="single" w:color="auto" w:sz="4" w:space="0"/>
            </w:tcBorders>
            <w:vAlign w:val="center"/>
          </w:tcPr>
          <w:p w14:paraId="2CE9ABFA">
            <w:pPr>
              <w:jc w:val="both"/>
              <w:rPr>
                <w:rFonts w:hint="eastAsia" w:ascii="宋体" w:hAnsi="宋体" w:eastAsia="宋体" w:cs="宋体"/>
                <w:color w:val="000000"/>
              </w:rPr>
            </w:pPr>
            <w:r>
              <w:rPr>
                <w:rFonts w:hint="eastAsia" w:ascii="宋体" w:hAnsi="宋体" w:eastAsia="宋体" w:cs="宋体"/>
                <w:color w:val="000000"/>
              </w:rPr>
              <w:t>2-1</w:t>
            </w:r>
          </w:p>
        </w:tc>
        <w:tc>
          <w:tcPr>
            <w:tcW w:w="860" w:type="pct"/>
            <w:tcBorders>
              <w:top w:val="nil"/>
              <w:left w:val="nil"/>
              <w:bottom w:val="single" w:color="auto" w:sz="4" w:space="0"/>
              <w:right w:val="single" w:color="auto" w:sz="4" w:space="0"/>
            </w:tcBorders>
            <w:vAlign w:val="center"/>
          </w:tcPr>
          <w:p w14:paraId="1B77682B">
            <w:pPr>
              <w:jc w:val="both"/>
              <w:rPr>
                <w:rFonts w:hint="eastAsia" w:ascii="宋体" w:hAnsi="宋体" w:eastAsia="宋体" w:cs="宋体"/>
                <w:color w:val="000000"/>
              </w:rPr>
            </w:pPr>
            <w:r>
              <w:rPr>
                <w:rFonts w:hint="eastAsia" w:ascii="宋体" w:hAnsi="宋体" w:eastAsia="宋体" w:cs="宋体"/>
                <w:color w:val="000000"/>
              </w:rPr>
              <w:t>网管平台</w:t>
            </w:r>
          </w:p>
        </w:tc>
        <w:tc>
          <w:tcPr>
            <w:tcW w:w="1339" w:type="pct"/>
            <w:tcBorders>
              <w:top w:val="nil"/>
              <w:left w:val="nil"/>
              <w:bottom w:val="single" w:color="auto" w:sz="4" w:space="0"/>
              <w:right w:val="single" w:color="auto" w:sz="4" w:space="0"/>
            </w:tcBorders>
            <w:vAlign w:val="center"/>
          </w:tcPr>
          <w:p w14:paraId="4EE40500">
            <w:pPr>
              <w:jc w:val="both"/>
              <w:rPr>
                <w:rFonts w:hint="eastAsia" w:ascii="宋体" w:hAnsi="宋体" w:eastAsia="宋体" w:cs="宋体"/>
                <w:color w:val="000000"/>
              </w:rPr>
            </w:pPr>
            <w:r>
              <w:rPr>
                <w:rFonts w:hint="eastAsia" w:ascii="宋体" w:hAnsi="宋体" w:eastAsia="宋体" w:cs="宋体"/>
                <w:color w:val="000000"/>
              </w:rPr>
              <w:t>1套</w:t>
            </w:r>
          </w:p>
        </w:tc>
        <w:tc>
          <w:tcPr>
            <w:tcW w:w="2144" w:type="pct"/>
            <w:tcBorders>
              <w:top w:val="nil"/>
              <w:left w:val="nil"/>
              <w:bottom w:val="single" w:color="auto" w:sz="4" w:space="0"/>
              <w:right w:val="single" w:color="auto" w:sz="4" w:space="0"/>
            </w:tcBorders>
            <w:vAlign w:val="center"/>
          </w:tcPr>
          <w:p w14:paraId="1CA0A080">
            <w:pPr>
              <w:jc w:val="both"/>
              <w:rPr>
                <w:rFonts w:hint="eastAsia" w:ascii="宋体" w:hAnsi="宋体" w:eastAsia="宋体" w:cs="宋体"/>
                <w:color w:val="000000"/>
              </w:rPr>
            </w:pPr>
          </w:p>
        </w:tc>
      </w:tr>
      <w:tr w14:paraId="3ED5D1ED">
        <w:tblPrEx>
          <w:tblCellMar>
            <w:top w:w="0" w:type="dxa"/>
            <w:left w:w="108" w:type="dxa"/>
            <w:bottom w:w="0" w:type="dxa"/>
            <w:right w:w="108" w:type="dxa"/>
          </w:tblCellMar>
        </w:tblPrEx>
        <w:trPr>
          <w:trHeight w:val="280" w:hRule="atLeast"/>
        </w:trPr>
        <w:tc>
          <w:tcPr>
            <w:tcW w:w="655" w:type="pct"/>
            <w:tcBorders>
              <w:top w:val="nil"/>
              <w:left w:val="single" w:color="auto" w:sz="4" w:space="0"/>
              <w:bottom w:val="single" w:color="auto" w:sz="4" w:space="0"/>
              <w:right w:val="single" w:color="auto" w:sz="4" w:space="0"/>
            </w:tcBorders>
            <w:vAlign w:val="center"/>
          </w:tcPr>
          <w:p w14:paraId="258F55C6">
            <w:pPr>
              <w:jc w:val="both"/>
              <w:rPr>
                <w:rFonts w:hint="eastAsia" w:ascii="宋体" w:hAnsi="宋体" w:eastAsia="宋体" w:cs="宋体"/>
                <w:color w:val="000000"/>
              </w:rPr>
            </w:pPr>
            <w:r>
              <w:rPr>
                <w:rFonts w:hint="eastAsia" w:ascii="宋体" w:hAnsi="宋体" w:eastAsia="宋体" w:cs="宋体"/>
                <w:color w:val="000000"/>
              </w:rPr>
              <w:t>2-2</w:t>
            </w:r>
          </w:p>
        </w:tc>
        <w:tc>
          <w:tcPr>
            <w:tcW w:w="860" w:type="pct"/>
            <w:tcBorders>
              <w:top w:val="nil"/>
              <w:left w:val="nil"/>
              <w:bottom w:val="single" w:color="auto" w:sz="4" w:space="0"/>
              <w:right w:val="single" w:color="auto" w:sz="4" w:space="0"/>
            </w:tcBorders>
            <w:vAlign w:val="center"/>
          </w:tcPr>
          <w:p w14:paraId="06DA4DD2">
            <w:pPr>
              <w:jc w:val="both"/>
              <w:rPr>
                <w:rFonts w:hint="eastAsia" w:ascii="宋体" w:hAnsi="宋体" w:eastAsia="宋体" w:cs="宋体"/>
                <w:color w:val="000000"/>
              </w:rPr>
            </w:pPr>
            <w:r>
              <w:rPr>
                <w:rFonts w:hint="eastAsia" w:ascii="宋体" w:hAnsi="宋体" w:eastAsia="宋体" w:cs="宋体"/>
                <w:color w:val="000000"/>
              </w:rPr>
              <w:t>服务器</w:t>
            </w:r>
          </w:p>
        </w:tc>
        <w:tc>
          <w:tcPr>
            <w:tcW w:w="1339" w:type="pct"/>
            <w:tcBorders>
              <w:top w:val="nil"/>
              <w:left w:val="nil"/>
              <w:bottom w:val="single" w:color="auto" w:sz="4" w:space="0"/>
              <w:right w:val="single" w:color="auto" w:sz="4" w:space="0"/>
            </w:tcBorders>
            <w:vAlign w:val="center"/>
          </w:tcPr>
          <w:p w14:paraId="7FE8304D">
            <w:pPr>
              <w:jc w:val="both"/>
              <w:rPr>
                <w:rFonts w:hint="eastAsia" w:ascii="宋体" w:hAnsi="宋体" w:eastAsia="宋体" w:cs="宋体"/>
                <w:color w:val="000000"/>
              </w:rPr>
            </w:pPr>
            <w:r>
              <w:rPr>
                <w:rFonts w:hint="eastAsia" w:ascii="宋体" w:hAnsi="宋体" w:eastAsia="宋体" w:cs="宋体"/>
                <w:color w:val="000000"/>
              </w:rPr>
              <w:t>1台</w:t>
            </w:r>
          </w:p>
        </w:tc>
        <w:tc>
          <w:tcPr>
            <w:tcW w:w="2144" w:type="pct"/>
            <w:tcBorders>
              <w:top w:val="nil"/>
              <w:left w:val="nil"/>
              <w:bottom w:val="single" w:color="auto" w:sz="4" w:space="0"/>
              <w:right w:val="single" w:color="auto" w:sz="4" w:space="0"/>
            </w:tcBorders>
            <w:vAlign w:val="center"/>
          </w:tcPr>
          <w:p w14:paraId="0991F0F6">
            <w:pPr>
              <w:jc w:val="both"/>
              <w:rPr>
                <w:rFonts w:hint="eastAsia" w:ascii="宋体" w:hAnsi="宋体" w:eastAsia="宋体" w:cs="宋体"/>
                <w:color w:val="000000"/>
              </w:rPr>
            </w:pPr>
          </w:p>
        </w:tc>
      </w:tr>
      <w:tr w14:paraId="68C1B3A4">
        <w:tblPrEx>
          <w:tblCellMar>
            <w:top w:w="0" w:type="dxa"/>
            <w:left w:w="108" w:type="dxa"/>
            <w:bottom w:w="0" w:type="dxa"/>
            <w:right w:w="108" w:type="dxa"/>
          </w:tblCellMar>
        </w:tblPrEx>
        <w:trPr>
          <w:trHeight w:val="540" w:hRule="atLeast"/>
        </w:trPr>
        <w:tc>
          <w:tcPr>
            <w:tcW w:w="655" w:type="pct"/>
            <w:tcBorders>
              <w:top w:val="nil"/>
              <w:left w:val="single" w:color="auto" w:sz="4" w:space="0"/>
              <w:bottom w:val="single" w:color="auto" w:sz="4" w:space="0"/>
              <w:right w:val="single" w:color="auto" w:sz="4" w:space="0"/>
            </w:tcBorders>
            <w:vAlign w:val="center"/>
          </w:tcPr>
          <w:p w14:paraId="2BE352A8">
            <w:pPr>
              <w:jc w:val="both"/>
              <w:rPr>
                <w:rFonts w:hint="eastAsia" w:ascii="宋体" w:hAnsi="宋体" w:eastAsia="宋体" w:cs="宋体"/>
                <w:color w:val="000000"/>
              </w:rPr>
            </w:pPr>
            <w:r>
              <w:rPr>
                <w:rFonts w:hint="eastAsia" w:ascii="宋体" w:hAnsi="宋体" w:eastAsia="宋体" w:cs="宋体"/>
                <w:color w:val="000000"/>
              </w:rPr>
              <w:t>2-3</w:t>
            </w:r>
          </w:p>
        </w:tc>
        <w:tc>
          <w:tcPr>
            <w:tcW w:w="860" w:type="pct"/>
            <w:tcBorders>
              <w:top w:val="nil"/>
              <w:left w:val="nil"/>
              <w:bottom w:val="single" w:color="auto" w:sz="4" w:space="0"/>
              <w:right w:val="single" w:color="auto" w:sz="4" w:space="0"/>
            </w:tcBorders>
            <w:vAlign w:val="center"/>
          </w:tcPr>
          <w:p w14:paraId="4AE6BD8A">
            <w:pPr>
              <w:jc w:val="both"/>
              <w:rPr>
                <w:rFonts w:hint="eastAsia" w:ascii="宋体" w:hAnsi="宋体" w:eastAsia="宋体" w:cs="宋体"/>
                <w:color w:val="000000"/>
              </w:rPr>
            </w:pPr>
            <w:r>
              <w:rPr>
                <w:rFonts w:hint="eastAsia" w:ascii="宋体" w:hAnsi="宋体" w:eastAsia="宋体" w:cs="宋体"/>
                <w:color w:val="000000"/>
              </w:rPr>
              <w:t>网络设备控制器</w:t>
            </w:r>
          </w:p>
        </w:tc>
        <w:tc>
          <w:tcPr>
            <w:tcW w:w="1339" w:type="pct"/>
            <w:tcBorders>
              <w:top w:val="nil"/>
              <w:left w:val="nil"/>
              <w:bottom w:val="single" w:color="auto" w:sz="4" w:space="0"/>
              <w:right w:val="single" w:color="auto" w:sz="4" w:space="0"/>
            </w:tcBorders>
            <w:vAlign w:val="center"/>
          </w:tcPr>
          <w:p w14:paraId="11022E0E">
            <w:pPr>
              <w:jc w:val="both"/>
              <w:rPr>
                <w:rFonts w:hint="eastAsia" w:ascii="宋体" w:hAnsi="宋体" w:eastAsia="宋体" w:cs="宋体"/>
                <w:color w:val="000000"/>
              </w:rPr>
            </w:pPr>
            <w:r>
              <w:rPr>
                <w:rFonts w:hint="eastAsia" w:ascii="宋体" w:hAnsi="宋体" w:eastAsia="宋体" w:cs="宋体"/>
                <w:color w:val="000000"/>
              </w:rPr>
              <w:t>若干</w:t>
            </w:r>
          </w:p>
        </w:tc>
        <w:tc>
          <w:tcPr>
            <w:tcW w:w="2144" w:type="pct"/>
            <w:tcBorders>
              <w:top w:val="nil"/>
              <w:left w:val="nil"/>
              <w:bottom w:val="single" w:color="auto" w:sz="4" w:space="0"/>
              <w:right w:val="single" w:color="auto" w:sz="4" w:space="0"/>
            </w:tcBorders>
            <w:vAlign w:val="center"/>
          </w:tcPr>
          <w:p w14:paraId="1BAD772D">
            <w:pPr>
              <w:jc w:val="both"/>
              <w:rPr>
                <w:rFonts w:hint="eastAsia" w:ascii="宋体" w:hAnsi="宋体" w:eastAsia="宋体" w:cs="宋体"/>
                <w:color w:val="000000"/>
              </w:rPr>
            </w:pPr>
            <w:r>
              <w:rPr>
                <w:rFonts w:hint="eastAsia" w:ascii="宋体" w:hAnsi="宋体" w:eastAsia="宋体" w:cs="宋体"/>
                <w:color w:val="auto"/>
              </w:rPr>
              <w:t>根据自身组网自行搭配，让学生能通过控制器配置对应组别的每一台网络设备</w:t>
            </w:r>
          </w:p>
        </w:tc>
      </w:tr>
      <w:tr w14:paraId="55F1A997">
        <w:tblPrEx>
          <w:tblCellMar>
            <w:top w:w="0" w:type="dxa"/>
            <w:left w:w="108" w:type="dxa"/>
            <w:bottom w:w="0" w:type="dxa"/>
            <w:right w:w="108" w:type="dxa"/>
          </w:tblCellMar>
        </w:tblPrEx>
        <w:trPr>
          <w:trHeight w:val="540"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FFFF00"/>
            <w:vAlign w:val="center"/>
          </w:tcPr>
          <w:p w14:paraId="6A15808E">
            <w:pPr>
              <w:jc w:val="center"/>
              <w:rPr>
                <w:rFonts w:hint="eastAsia" w:ascii="宋体" w:hAnsi="宋体" w:eastAsia="宋体" w:cs="宋体"/>
                <w:color w:val="000000"/>
              </w:rPr>
            </w:pPr>
            <w:r>
              <w:rPr>
                <w:rFonts w:hint="eastAsia" w:ascii="宋体" w:hAnsi="宋体" w:eastAsia="宋体" w:cs="宋体"/>
                <w:sz w:val="22"/>
                <w:szCs w:val="22"/>
              </w:rPr>
              <w:t>系统集成与相关配套</w:t>
            </w:r>
          </w:p>
        </w:tc>
      </w:tr>
      <w:tr w14:paraId="193AEFB8">
        <w:tblPrEx>
          <w:tblCellMar>
            <w:top w:w="0" w:type="dxa"/>
            <w:left w:w="108" w:type="dxa"/>
            <w:bottom w:w="0" w:type="dxa"/>
            <w:right w:w="108" w:type="dxa"/>
          </w:tblCellMar>
        </w:tblPrEx>
        <w:trPr>
          <w:trHeight w:val="540" w:hRule="atLeast"/>
        </w:trPr>
        <w:tc>
          <w:tcPr>
            <w:tcW w:w="655" w:type="pct"/>
            <w:tcBorders>
              <w:top w:val="single" w:color="auto" w:sz="4" w:space="0"/>
              <w:left w:val="single" w:color="auto" w:sz="4" w:space="0"/>
              <w:bottom w:val="single" w:color="auto" w:sz="4" w:space="0"/>
              <w:right w:val="single" w:color="auto" w:sz="4" w:space="0"/>
            </w:tcBorders>
            <w:vAlign w:val="center"/>
          </w:tcPr>
          <w:p w14:paraId="3303F62D">
            <w:pPr>
              <w:jc w:val="both"/>
              <w:rPr>
                <w:rFonts w:hint="eastAsia" w:ascii="宋体" w:hAnsi="宋体" w:eastAsia="宋体" w:cs="宋体"/>
                <w:color w:val="000000"/>
              </w:rPr>
            </w:pPr>
            <w:r>
              <w:rPr>
                <w:rFonts w:hint="eastAsia" w:ascii="宋体" w:hAnsi="宋体" w:eastAsia="宋体" w:cs="宋体"/>
                <w:color w:val="000000"/>
              </w:rPr>
              <w:t>3-1</w:t>
            </w:r>
          </w:p>
        </w:tc>
        <w:tc>
          <w:tcPr>
            <w:tcW w:w="860" w:type="pct"/>
            <w:tcBorders>
              <w:top w:val="single" w:color="auto" w:sz="4" w:space="0"/>
              <w:left w:val="nil"/>
              <w:bottom w:val="single" w:color="auto" w:sz="4" w:space="0"/>
              <w:right w:val="single" w:color="auto" w:sz="4" w:space="0"/>
            </w:tcBorders>
            <w:vAlign w:val="center"/>
          </w:tcPr>
          <w:p w14:paraId="3A07DA8A">
            <w:pPr>
              <w:jc w:val="both"/>
              <w:rPr>
                <w:rFonts w:hint="eastAsia" w:ascii="宋体" w:hAnsi="宋体" w:eastAsia="宋体" w:cs="宋体"/>
                <w:color w:val="000000"/>
              </w:rPr>
            </w:pPr>
            <w:r>
              <w:rPr>
                <w:rFonts w:hint="eastAsia" w:ascii="宋体" w:hAnsi="宋体" w:eastAsia="宋体" w:cs="宋体"/>
                <w:sz w:val="22"/>
                <w:szCs w:val="22"/>
              </w:rPr>
              <w:t>系统集成与相关配套</w:t>
            </w:r>
          </w:p>
        </w:tc>
        <w:tc>
          <w:tcPr>
            <w:tcW w:w="1339" w:type="pct"/>
            <w:tcBorders>
              <w:top w:val="single" w:color="auto" w:sz="4" w:space="0"/>
              <w:left w:val="nil"/>
              <w:bottom w:val="single" w:color="auto" w:sz="4" w:space="0"/>
              <w:right w:val="single" w:color="auto" w:sz="4" w:space="0"/>
            </w:tcBorders>
            <w:vAlign w:val="center"/>
          </w:tcPr>
          <w:p w14:paraId="5A57B0D4">
            <w:pPr>
              <w:jc w:val="both"/>
              <w:rPr>
                <w:rFonts w:hint="eastAsia" w:ascii="宋体" w:hAnsi="宋体" w:eastAsia="宋体" w:cs="宋体"/>
                <w:color w:val="000000"/>
              </w:rPr>
            </w:pPr>
            <w:r>
              <w:rPr>
                <w:rFonts w:hint="eastAsia" w:ascii="宋体" w:hAnsi="宋体" w:eastAsia="宋体" w:cs="宋体"/>
                <w:color w:val="000000"/>
              </w:rPr>
              <w:t>1项</w:t>
            </w:r>
          </w:p>
        </w:tc>
        <w:tc>
          <w:tcPr>
            <w:tcW w:w="2144" w:type="pct"/>
            <w:tcBorders>
              <w:top w:val="single" w:color="auto" w:sz="4" w:space="0"/>
              <w:left w:val="nil"/>
              <w:bottom w:val="single" w:color="auto" w:sz="4" w:space="0"/>
              <w:right w:val="single" w:color="auto" w:sz="4" w:space="0"/>
            </w:tcBorders>
            <w:vAlign w:val="center"/>
          </w:tcPr>
          <w:p w14:paraId="7127A6E7">
            <w:pPr>
              <w:jc w:val="both"/>
              <w:rPr>
                <w:rFonts w:hint="eastAsia" w:ascii="宋体" w:hAnsi="宋体" w:eastAsia="宋体" w:cs="宋体"/>
                <w:color w:val="000000"/>
              </w:rPr>
            </w:pPr>
            <w:r>
              <w:rPr>
                <w:rFonts w:hint="eastAsia" w:ascii="宋体" w:hAnsi="宋体" w:eastAsia="宋体" w:cs="宋体"/>
                <w:color w:val="000000"/>
                <w:sz w:val="22"/>
                <w:szCs w:val="22"/>
              </w:rPr>
              <w:t>提供设备上架、调试及实验环境的搭建，提供配套软件满足本次招标要求。</w:t>
            </w:r>
          </w:p>
        </w:tc>
      </w:tr>
    </w:tbl>
    <w:p w14:paraId="1C105B16">
      <w:pPr>
        <w:spacing w:line="360" w:lineRule="auto"/>
        <w:rPr>
          <w:rFonts w:hint="eastAsia" w:ascii="宋体" w:hAnsi="宋体" w:eastAsia="宋体" w:cs="宋体"/>
          <w:color w:val="000000" w:themeColor="text1"/>
          <w14:textFill>
            <w14:solidFill>
              <w14:schemeClr w14:val="tx1"/>
            </w14:solidFill>
          </w14:textFill>
        </w:rPr>
      </w:pPr>
    </w:p>
    <w:p w14:paraId="65673E3A">
      <w:pPr>
        <w:spacing w:line="360" w:lineRule="auto"/>
        <w:ind w:firstLine="48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六、</w:t>
      </w:r>
      <w:r>
        <w:rPr>
          <w:rFonts w:hint="eastAsia" w:ascii="宋体" w:hAnsi="宋体" w:eastAsia="宋体" w:cs="宋体"/>
          <w:b/>
          <w:bCs/>
          <w:color w:val="000000" w:themeColor="text1"/>
          <w:sz w:val="28"/>
          <w:szCs w:val="28"/>
          <w14:textFill>
            <w14:solidFill>
              <w14:schemeClr w14:val="tx1"/>
            </w14:solidFill>
          </w14:textFill>
        </w:rPr>
        <w:t>技术与规格要求</w:t>
      </w:r>
    </w:p>
    <w:tbl>
      <w:tblPr>
        <w:tblStyle w:val="11"/>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9"/>
        <w:gridCol w:w="1498"/>
        <w:gridCol w:w="6702"/>
      </w:tblGrid>
      <w:tr w14:paraId="40F7E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0" w:hRule="atLeast"/>
        </w:trPr>
        <w:tc>
          <w:tcPr>
            <w:tcW w:w="5000" w:type="pct"/>
            <w:gridSpan w:val="3"/>
            <w:tcBorders>
              <w:tl2br w:val="nil"/>
              <w:tr2bl w:val="nil"/>
            </w:tcBorders>
            <w:shd w:val="clear" w:color="auto" w:fill="FFFF00"/>
            <w:vAlign w:val="center"/>
          </w:tcPr>
          <w:p w14:paraId="44CB2930">
            <w:pPr>
              <w:jc w:val="center"/>
              <w:rPr>
                <w:rFonts w:hint="eastAsia" w:ascii="宋体" w:hAnsi="宋体" w:eastAsia="宋体" w:cs="宋体"/>
                <w:color w:val="auto"/>
              </w:rPr>
            </w:pPr>
            <w:r>
              <w:rPr>
                <w:rFonts w:hint="eastAsia" w:ascii="宋体" w:hAnsi="宋体" w:eastAsia="宋体" w:cs="宋体"/>
                <w:color w:val="auto"/>
              </w:rPr>
              <w:t>网络设备(十组)</w:t>
            </w:r>
          </w:p>
        </w:tc>
      </w:tr>
      <w:tr w14:paraId="7690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10" w:type="pct"/>
            <w:tcBorders>
              <w:tl2br w:val="nil"/>
              <w:tr2bl w:val="nil"/>
            </w:tcBorders>
            <w:vAlign w:val="center"/>
          </w:tcPr>
          <w:p w14:paraId="00B5DD65">
            <w:pPr>
              <w:jc w:val="center"/>
              <w:rPr>
                <w:rFonts w:hint="eastAsia" w:ascii="宋体" w:hAnsi="宋体" w:eastAsia="宋体" w:cs="宋体"/>
                <w:color w:val="auto"/>
              </w:rPr>
            </w:pPr>
            <w:r>
              <w:rPr>
                <w:rFonts w:hint="eastAsia" w:ascii="宋体" w:hAnsi="宋体" w:eastAsia="宋体" w:cs="宋体"/>
                <w:color w:val="auto"/>
              </w:rPr>
              <w:t>序号</w:t>
            </w:r>
          </w:p>
        </w:tc>
        <w:tc>
          <w:tcPr>
            <w:tcW w:w="802" w:type="pct"/>
            <w:tcBorders>
              <w:tl2br w:val="nil"/>
              <w:tr2bl w:val="nil"/>
            </w:tcBorders>
            <w:vAlign w:val="center"/>
          </w:tcPr>
          <w:p w14:paraId="5BFB19D9">
            <w:pPr>
              <w:jc w:val="center"/>
              <w:rPr>
                <w:rFonts w:hint="eastAsia" w:ascii="宋体" w:hAnsi="宋体" w:eastAsia="宋体" w:cs="宋体"/>
                <w:color w:val="auto"/>
              </w:rPr>
            </w:pPr>
            <w:r>
              <w:rPr>
                <w:rFonts w:hint="eastAsia" w:ascii="宋体" w:hAnsi="宋体" w:eastAsia="宋体" w:cs="宋体"/>
                <w:color w:val="auto"/>
              </w:rPr>
              <w:t>名称</w:t>
            </w:r>
          </w:p>
        </w:tc>
        <w:tc>
          <w:tcPr>
            <w:tcW w:w="3587" w:type="pct"/>
            <w:tcBorders>
              <w:tl2br w:val="nil"/>
              <w:tr2bl w:val="nil"/>
            </w:tcBorders>
            <w:vAlign w:val="center"/>
          </w:tcPr>
          <w:p w14:paraId="4B1B6F7A">
            <w:pPr>
              <w:rPr>
                <w:rFonts w:hint="eastAsia" w:ascii="宋体" w:hAnsi="宋体" w:eastAsia="宋体" w:cs="宋体"/>
                <w:color w:val="auto"/>
              </w:rPr>
            </w:pPr>
            <w:r>
              <w:rPr>
                <w:rFonts w:hint="eastAsia" w:ascii="宋体" w:hAnsi="宋体" w:eastAsia="宋体" w:cs="宋体"/>
                <w:color w:val="auto"/>
                <w:sz w:val="22"/>
                <w:szCs w:val="22"/>
              </w:rPr>
              <w:t>技术要求</w:t>
            </w:r>
          </w:p>
        </w:tc>
      </w:tr>
      <w:tr w14:paraId="0F205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10" w:type="pct"/>
            <w:tcBorders>
              <w:tl2br w:val="nil"/>
              <w:tr2bl w:val="nil"/>
            </w:tcBorders>
            <w:vAlign w:val="center"/>
          </w:tcPr>
          <w:p w14:paraId="1E6CFD42">
            <w:pPr>
              <w:jc w:val="both"/>
              <w:rPr>
                <w:rFonts w:hint="eastAsia" w:ascii="宋体" w:hAnsi="宋体" w:eastAsia="宋体" w:cs="宋体"/>
                <w:color w:val="auto"/>
              </w:rPr>
            </w:pPr>
            <w:r>
              <w:rPr>
                <w:rFonts w:hint="eastAsia" w:ascii="宋体" w:hAnsi="宋体" w:eastAsia="宋体" w:cs="宋体"/>
                <w:color w:val="auto"/>
              </w:rPr>
              <w:t>1-1</w:t>
            </w:r>
          </w:p>
        </w:tc>
        <w:tc>
          <w:tcPr>
            <w:tcW w:w="802" w:type="pct"/>
            <w:tcBorders>
              <w:tl2br w:val="nil"/>
              <w:tr2bl w:val="nil"/>
            </w:tcBorders>
            <w:vAlign w:val="center"/>
          </w:tcPr>
          <w:p w14:paraId="563C9C06">
            <w:pPr>
              <w:jc w:val="center"/>
              <w:rPr>
                <w:rFonts w:hint="eastAsia" w:ascii="宋体" w:hAnsi="宋体" w:eastAsia="宋体" w:cs="宋体"/>
                <w:color w:val="auto"/>
              </w:rPr>
            </w:pPr>
            <w:r>
              <w:rPr>
                <w:rFonts w:hint="eastAsia" w:ascii="宋体" w:hAnsi="宋体" w:eastAsia="宋体" w:cs="宋体"/>
                <w:color w:val="auto"/>
              </w:rPr>
              <w:t>路由器</w:t>
            </w:r>
          </w:p>
        </w:tc>
        <w:tc>
          <w:tcPr>
            <w:tcW w:w="3587" w:type="pct"/>
            <w:tcBorders>
              <w:tl2br w:val="nil"/>
              <w:tr2bl w:val="nil"/>
            </w:tcBorders>
            <w:vAlign w:val="center"/>
          </w:tcPr>
          <w:p w14:paraId="6E3A8438">
            <w:pPr>
              <w:rPr>
                <w:rFonts w:hint="eastAsia" w:ascii="宋体" w:hAnsi="宋体" w:eastAsia="宋体" w:cs="宋体"/>
                <w:color w:val="auto"/>
                <w:sz w:val="22"/>
                <w:szCs w:val="22"/>
              </w:rPr>
            </w:pPr>
            <w:r>
              <w:rPr>
                <w:rFonts w:hint="eastAsia" w:ascii="宋体" w:hAnsi="宋体" w:eastAsia="宋体" w:cs="宋体"/>
                <w:color w:val="auto"/>
                <w:sz w:val="22"/>
                <w:szCs w:val="22"/>
              </w:rPr>
              <w:t>1、★包转发率≥5Mpps，交换容量≥20Gbps，转发性能≥1.5Gbps；</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2、★WAN侧接口：万兆光口≥2个；LAN侧接口：千兆电口≥4个，千兆Combo口≥4个；</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3、设备关键芯片CPU芯片采用设备国产自研芯片；</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4、★支持路由策略，静态路由，RIP，OSPF，IS-IS，BGP，IP FRR；</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5、支持EEE 802.1P，IEEE 802.1Q，VLAN 管理，VLAN 聚合，Voice VLAN，MAC 管理，STP/RSTP，MSTP；</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6、★支持优先级映射，流量监管（CAR），流量整形，拥塞避免，拥塞管理， MQC（流分类，流行为，流策略），端口三级调度和三级整形（Hierarchical QoS），应用识别，智能策略路由（SPR），SaaS 选路，智能流量监管；</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7、★支持GRE ， Ethernet over GRE, IPsec v4/v6 ， Segment Routing IPv6(SRv6) ， L2TP client ， DSVPN ，IPv4/IPv6 双栈，SD-WAN EVPN；</w:t>
            </w:r>
          </w:p>
          <w:p w14:paraId="55EF43B7">
            <w:pPr>
              <w:rPr>
                <w:rFonts w:hint="eastAsia" w:ascii="宋体" w:hAnsi="宋体" w:eastAsia="宋体" w:cs="宋体"/>
                <w:color w:val="auto"/>
                <w:sz w:val="22"/>
                <w:szCs w:val="22"/>
              </w:rPr>
            </w:pPr>
            <w:r>
              <w:rPr>
                <w:rFonts w:hint="eastAsia" w:ascii="宋体" w:hAnsi="宋体" w:eastAsia="宋体" w:cs="宋体"/>
                <w:color w:val="auto"/>
                <w:sz w:val="22"/>
                <w:szCs w:val="22"/>
              </w:rPr>
              <w:t>8、支持DHCP Server、DHCP Client、DHCP Relay功能；</w:t>
            </w:r>
          </w:p>
          <w:p w14:paraId="4B7589F2">
            <w:pPr>
              <w:rPr>
                <w:rFonts w:hint="eastAsia" w:ascii="宋体" w:hAnsi="宋体" w:eastAsia="宋体" w:cs="宋体"/>
                <w:color w:val="auto"/>
                <w:sz w:val="22"/>
                <w:szCs w:val="22"/>
              </w:rPr>
            </w:pPr>
            <w:r>
              <w:rPr>
                <w:rFonts w:hint="eastAsia" w:ascii="宋体" w:hAnsi="宋体" w:eastAsia="宋体" w:cs="宋体"/>
                <w:color w:val="auto"/>
                <w:sz w:val="22"/>
                <w:szCs w:val="22"/>
              </w:rPr>
              <w:t>9、★支持静态/动态NAT、NATPT、VPN NAT等；</w:t>
            </w:r>
          </w:p>
          <w:p w14:paraId="5705A88F">
            <w:pPr>
              <w:rPr>
                <w:rFonts w:hint="eastAsia" w:ascii="宋体" w:hAnsi="宋体" w:eastAsia="宋体" w:cs="宋体"/>
                <w:color w:val="auto"/>
                <w:sz w:val="22"/>
                <w:szCs w:val="22"/>
              </w:rPr>
            </w:pPr>
            <w:r>
              <w:rPr>
                <w:rFonts w:hint="eastAsia" w:ascii="宋体" w:hAnsi="宋体" w:eastAsia="宋体" w:cs="宋体"/>
                <w:color w:val="auto"/>
                <w:sz w:val="22"/>
                <w:szCs w:val="22"/>
              </w:rPr>
              <w:t>10、▲路由器数量最低3台，超过最低数量两台</w:t>
            </w:r>
          </w:p>
        </w:tc>
      </w:tr>
      <w:tr w14:paraId="6CF49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10" w:type="pct"/>
            <w:tcBorders>
              <w:tl2br w:val="nil"/>
              <w:tr2bl w:val="nil"/>
            </w:tcBorders>
            <w:vAlign w:val="center"/>
          </w:tcPr>
          <w:p w14:paraId="65D2A7DB">
            <w:pPr>
              <w:jc w:val="both"/>
              <w:rPr>
                <w:rFonts w:hint="eastAsia" w:ascii="宋体" w:hAnsi="宋体" w:eastAsia="宋体" w:cs="宋体"/>
                <w:color w:val="auto"/>
              </w:rPr>
            </w:pPr>
            <w:r>
              <w:rPr>
                <w:rFonts w:hint="eastAsia" w:ascii="宋体" w:hAnsi="宋体" w:eastAsia="宋体" w:cs="宋体"/>
                <w:color w:val="auto"/>
              </w:rPr>
              <w:t>1-2</w:t>
            </w:r>
          </w:p>
        </w:tc>
        <w:tc>
          <w:tcPr>
            <w:tcW w:w="802" w:type="pct"/>
            <w:tcBorders>
              <w:tl2br w:val="nil"/>
              <w:tr2bl w:val="nil"/>
            </w:tcBorders>
            <w:vAlign w:val="center"/>
          </w:tcPr>
          <w:p w14:paraId="5D7E5C9D">
            <w:pPr>
              <w:jc w:val="center"/>
              <w:rPr>
                <w:rFonts w:hint="eastAsia" w:ascii="宋体" w:hAnsi="宋体" w:eastAsia="宋体" w:cs="宋体"/>
                <w:color w:val="auto"/>
              </w:rPr>
            </w:pPr>
            <w:r>
              <w:rPr>
                <w:rFonts w:hint="eastAsia" w:ascii="宋体" w:hAnsi="宋体" w:eastAsia="宋体" w:cs="宋体"/>
                <w:color w:val="auto"/>
              </w:rPr>
              <w:t>交换机</w:t>
            </w:r>
          </w:p>
        </w:tc>
        <w:tc>
          <w:tcPr>
            <w:tcW w:w="3587" w:type="pct"/>
            <w:tcBorders>
              <w:tl2br w:val="nil"/>
              <w:tr2bl w:val="nil"/>
            </w:tcBorders>
            <w:vAlign w:val="center"/>
          </w:tcPr>
          <w:p w14:paraId="53B3EDFE">
            <w:pPr>
              <w:rPr>
                <w:rFonts w:hint="eastAsia" w:ascii="宋体" w:hAnsi="宋体" w:eastAsia="宋体" w:cs="宋体"/>
                <w:color w:val="auto"/>
                <w:sz w:val="22"/>
                <w:szCs w:val="22"/>
              </w:rPr>
            </w:pPr>
            <w:r>
              <w:rPr>
                <w:rFonts w:hint="eastAsia" w:ascii="宋体" w:hAnsi="宋体" w:eastAsia="宋体" w:cs="宋体"/>
                <w:color w:val="auto"/>
                <w:sz w:val="22"/>
                <w:szCs w:val="22"/>
              </w:rPr>
              <w:t>1、★交换容量≥2.56Tbps，包转发率≥786Mpps；</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2、★单台配置：千兆电口≥24个，25G光口≥4个，40/100G光口≥2个；</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3、▲支持≥2个扩展卡，基于实配端口后，还可扩展16个25G端口，提供官网链接及官网截图佐证；</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lang w:val="en-US" w:eastAsia="zh-CN"/>
              </w:rPr>
              <w:t>4</w:t>
            </w:r>
            <w:r>
              <w:rPr>
                <w:rFonts w:hint="eastAsia" w:ascii="宋体" w:hAnsi="宋体" w:eastAsia="宋体" w:cs="宋体"/>
                <w:color w:val="auto"/>
                <w:sz w:val="22"/>
                <w:szCs w:val="22"/>
              </w:rPr>
              <w:t>、设备关键芯片CPU芯片和转发芯片均采用设备国产自研芯片；</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lang w:val="en-US" w:eastAsia="zh-CN"/>
              </w:rPr>
              <w:t>5</w:t>
            </w:r>
            <w:r>
              <w:rPr>
                <w:rFonts w:hint="eastAsia" w:ascii="宋体" w:hAnsi="宋体" w:eastAsia="宋体" w:cs="宋体"/>
                <w:color w:val="auto"/>
                <w:sz w:val="22"/>
                <w:szCs w:val="22"/>
              </w:rPr>
              <w:t>、设备支持独立的复位按钮和清配置按钮</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lang w:val="en-US" w:eastAsia="zh-CN"/>
              </w:rPr>
              <w:t>6</w:t>
            </w:r>
            <w:r>
              <w:rPr>
                <w:rFonts w:hint="eastAsia" w:ascii="宋体" w:hAnsi="宋体" w:eastAsia="宋体" w:cs="宋体"/>
                <w:color w:val="auto"/>
                <w:sz w:val="22"/>
                <w:szCs w:val="22"/>
              </w:rPr>
              <w:t>、▲三层交换机支持静态路由、路由策略、策略路由、RIPv1/v2、RIPng、OSPFv2、OSPFv3、ISIS、ISISv6、BGP、BGP4+；</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lang w:val="en-US" w:eastAsia="zh-CN"/>
              </w:rPr>
              <w:t>7</w:t>
            </w:r>
            <w:r>
              <w:rPr>
                <w:rFonts w:hint="eastAsia" w:ascii="宋体" w:hAnsi="宋体" w:eastAsia="宋体" w:cs="宋体"/>
                <w:color w:val="auto"/>
                <w:sz w:val="22"/>
                <w:szCs w:val="22"/>
              </w:rPr>
              <w:t>、支持 SP、DRR、WDRR、SP+DRR、SP+WDRR 队列调度算法；</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lang w:val="en-US" w:eastAsia="zh-CN"/>
              </w:rPr>
              <w:t>8</w:t>
            </w:r>
            <w:r>
              <w:rPr>
                <w:rFonts w:hint="eastAsia" w:ascii="宋体" w:hAnsi="宋体" w:eastAsia="宋体" w:cs="宋体"/>
                <w:color w:val="auto"/>
                <w:sz w:val="22"/>
                <w:szCs w:val="22"/>
              </w:rPr>
              <w:t>、支持切片，在一张物理网络上切分出多张包含特定网络功能，由定制网络拓扑和网络资源组成的虚拟网络，提供佐证材料；</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lang w:val="en-US" w:eastAsia="zh-CN"/>
              </w:rPr>
              <w:t>9</w:t>
            </w:r>
            <w:r>
              <w:rPr>
                <w:rFonts w:hint="eastAsia" w:ascii="宋体" w:hAnsi="宋体" w:eastAsia="宋体" w:cs="宋体"/>
                <w:color w:val="auto"/>
                <w:sz w:val="22"/>
                <w:szCs w:val="22"/>
              </w:rPr>
              <w:t>、★支持 L2（Layer 2）~L4（Layer 4）包过滤功能，提供基于源 MAC 地址、目的 MAC 地址、源IP 地址、目的 IP 地址、TCP/UDP 协议源/目的端口号、协议、VLAN 的包过滤功能；</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lang w:val="en-US" w:eastAsia="zh-CN"/>
              </w:rPr>
              <w:t>10</w:t>
            </w:r>
            <w:r>
              <w:rPr>
                <w:rFonts w:hint="eastAsia" w:ascii="宋体" w:hAnsi="宋体" w:eastAsia="宋体" w:cs="宋体"/>
                <w:color w:val="auto"/>
                <w:sz w:val="22"/>
                <w:szCs w:val="22"/>
              </w:rPr>
              <w:t>、▲支持LACP、M-LAG、VRRP、BFD、LLDP等功能；</w:t>
            </w:r>
          </w:p>
          <w:p w14:paraId="38BE05E3">
            <w:pPr>
              <w:rPr>
                <w:rFonts w:hint="eastAsia" w:ascii="宋体" w:hAnsi="宋体" w:eastAsia="宋体" w:cs="宋体"/>
                <w:color w:val="auto"/>
                <w:sz w:val="22"/>
                <w:szCs w:val="22"/>
              </w:rPr>
            </w:pP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1</w:t>
            </w:r>
            <w:r>
              <w:rPr>
                <w:rFonts w:hint="eastAsia" w:ascii="宋体" w:hAnsi="宋体" w:eastAsia="宋体" w:cs="宋体"/>
                <w:color w:val="auto"/>
                <w:sz w:val="22"/>
                <w:szCs w:val="22"/>
              </w:rPr>
              <w:t>、★支持DHCP Server、DHCP Client、DHCP Relay功能</w:t>
            </w:r>
          </w:p>
        </w:tc>
      </w:tr>
      <w:tr w14:paraId="11D8B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10" w:type="pct"/>
            <w:tcBorders>
              <w:tl2br w:val="nil"/>
              <w:tr2bl w:val="nil"/>
            </w:tcBorders>
            <w:vAlign w:val="center"/>
          </w:tcPr>
          <w:p w14:paraId="7F21B598">
            <w:pPr>
              <w:jc w:val="both"/>
              <w:rPr>
                <w:rFonts w:hint="eastAsia" w:ascii="宋体" w:hAnsi="宋体" w:eastAsia="宋体" w:cs="宋体"/>
                <w:color w:val="auto"/>
              </w:rPr>
            </w:pPr>
            <w:r>
              <w:rPr>
                <w:rFonts w:hint="eastAsia" w:ascii="宋体" w:hAnsi="宋体" w:eastAsia="宋体" w:cs="宋体"/>
                <w:color w:val="auto"/>
              </w:rPr>
              <w:t>1-3</w:t>
            </w:r>
          </w:p>
        </w:tc>
        <w:tc>
          <w:tcPr>
            <w:tcW w:w="802" w:type="pct"/>
            <w:tcBorders>
              <w:tl2br w:val="nil"/>
              <w:tr2bl w:val="nil"/>
            </w:tcBorders>
            <w:vAlign w:val="center"/>
          </w:tcPr>
          <w:p w14:paraId="4B408AD2">
            <w:pPr>
              <w:jc w:val="center"/>
              <w:rPr>
                <w:rFonts w:hint="eastAsia" w:ascii="宋体" w:hAnsi="宋体" w:eastAsia="宋体" w:cs="宋体"/>
                <w:color w:val="auto"/>
              </w:rPr>
            </w:pPr>
            <w:r>
              <w:rPr>
                <w:rFonts w:hint="eastAsia" w:ascii="宋体" w:hAnsi="宋体" w:eastAsia="宋体" w:cs="宋体"/>
                <w:color w:val="auto"/>
              </w:rPr>
              <w:t>24口POE交换机</w:t>
            </w:r>
          </w:p>
        </w:tc>
        <w:tc>
          <w:tcPr>
            <w:tcW w:w="3587" w:type="pct"/>
            <w:tcBorders>
              <w:tl2br w:val="nil"/>
              <w:tr2bl w:val="nil"/>
            </w:tcBorders>
            <w:vAlign w:val="center"/>
          </w:tcPr>
          <w:p w14:paraId="061A64D9">
            <w:pPr>
              <w:rPr>
                <w:rFonts w:hint="eastAsia" w:ascii="宋体" w:hAnsi="宋体" w:eastAsia="宋体" w:cs="宋体"/>
                <w:color w:val="auto"/>
                <w:sz w:val="22"/>
                <w:szCs w:val="22"/>
              </w:rPr>
            </w:pPr>
            <w:r>
              <w:rPr>
                <w:rFonts w:hint="eastAsia" w:ascii="宋体" w:hAnsi="宋体" w:eastAsia="宋体" w:cs="宋体"/>
                <w:color w:val="auto"/>
                <w:sz w:val="22"/>
                <w:szCs w:val="22"/>
              </w:rPr>
              <w:t>1、★交换容量≥2.56Tbps，包转发率≥786Mpps；</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2、★单台配置：千兆电口≥24个，25G光口≥4个，40/100G光口≥2个；</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3、▲支持≥2个扩展卡，基于实配端口后，还可扩展16个25G端口，提供官网链接及官网截图佐证；</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lang w:val="en-US" w:eastAsia="zh-CN"/>
              </w:rPr>
              <w:t>4</w:t>
            </w:r>
            <w:r>
              <w:rPr>
                <w:rFonts w:hint="eastAsia" w:ascii="宋体" w:hAnsi="宋体" w:eastAsia="宋体" w:cs="宋体"/>
                <w:color w:val="auto"/>
                <w:sz w:val="22"/>
                <w:szCs w:val="22"/>
              </w:rPr>
              <w:t>、设备关键芯片CPU芯片和转发芯片均采用设备国产自研芯片；</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lang w:val="en-US" w:eastAsia="zh-CN"/>
              </w:rPr>
              <w:t>5</w:t>
            </w:r>
            <w:r>
              <w:rPr>
                <w:rFonts w:hint="eastAsia" w:ascii="宋体" w:hAnsi="宋体" w:eastAsia="宋体" w:cs="宋体"/>
                <w:color w:val="auto"/>
                <w:sz w:val="22"/>
                <w:szCs w:val="22"/>
              </w:rPr>
              <w:t>、设备支持独立的复位按钮和清配置按钮</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lang w:val="en-US" w:eastAsia="zh-CN"/>
              </w:rPr>
              <w:t>6</w:t>
            </w:r>
            <w:r>
              <w:rPr>
                <w:rFonts w:hint="eastAsia" w:ascii="宋体" w:hAnsi="宋体" w:eastAsia="宋体" w:cs="宋体"/>
                <w:color w:val="auto"/>
                <w:sz w:val="22"/>
                <w:szCs w:val="22"/>
              </w:rPr>
              <w:t>、</w:t>
            </w:r>
            <w:r>
              <w:rPr>
                <w:rFonts w:hint="eastAsia" w:ascii="宋体" w:hAnsi="宋体" w:eastAsia="宋体" w:cs="宋体"/>
                <w:color w:val="auto"/>
              </w:rPr>
              <w:t>三层交换机</w:t>
            </w:r>
            <w:r>
              <w:rPr>
                <w:rFonts w:hint="eastAsia" w:ascii="宋体" w:hAnsi="宋体" w:eastAsia="宋体" w:cs="宋体"/>
                <w:color w:val="auto"/>
                <w:sz w:val="22"/>
                <w:szCs w:val="22"/>
              </w:rPr>
              <w:t>支持静态路由、路由策略、策略路由、RIPv1/v2、RIPng、OSPFv2、OSPFv3、ISIS、ISISv6、BGP、BGP4+；</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lang w:val="en-US" w:eastAsia="zh-CN"/>
              </w:rPr>
              <w:t>7</w:t>
            </w:r>
            <w:r>
              <w:rPr>
                <w:rFonts w:hint="eastAsia" w:ascii="宋体" w:hAnsi="宋体" w:eastAsia="宋体" w:cs="宋体"/>
                <w:color w:val="auto"/>
                <w:sz w:val="22"/>
                <w:szCs w:val="22"/>
              </w:rPr>
              <w:t>、支持 SP、DRR、WDRR、SP+DRR、SP+WDRR 队列调度算法；</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lang w:val="en-US" w:eastAsia="zh-CN"/>
              </w:rPr>
              <w:t>8</w:t>
            </w:r>
            <w:r>
              <w:rPr>
                <w:rFonts w:hint="eastAsia" w:ascii="宋体" w:hAnsi="宋体" w:eastAsia="宋体" w:cs="宋体"/>
                <w:color w:val="auto"/>
                <w:sz w:val="22"/>
                <w:szCs w:val="22"/>
              </w:rPr>
              <w:t>、支持切片，在一张物理网络上切分出多张包含特定网络功能，由定制网络拓扑和网络资源组成的虚拟网络，提供佐证材料；</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lang w:val="en-US" w:eastAsia="zh-CN"/>
              </w:rPr>
              <w:t>9</w:t>
            </w:r>
            <w:r>
              <w:rPr>
                <w:rFonts w:hint="eastAsia" w:ascii="宋体" w:hAnsi="宋体" w:eastAsia="宋体" w:cs="宋体"/>
                <w:color w:val="auto"/>
                <w:sz w:val="22"/>
                <w:szCs w:val="22"/>
              </w:rPr>
              <w:t>、支持 L2（Layer 2）~L4（Layer 4）包过滤功能，提供基于源 MAC 地址、目的 MAC 地址、源IP 地址、目的 IP 地址、TCP/UDP 协议源/目的端口号、协议、VLAN 的包过滤功能；</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lang w:val="en-US" w:eastAsia="zh-CN"/>
              </w:rPr>
              <w:t>10</w:t>
            </w:r>
            <w:r>
              <w:rPr>
                <w:rFonts w:hint="eastAsia" w:ascii="宋体" w:hAnsi="宋体" w:eastAsia="宋体" w:cs="宋体"/>
                <w:color w:val="auto"/>
                <w:sz w:val="22"/>
                <w:szCs w:val="22"/>
              </w:rPr>
              <w:t>、▲支持LACP、M-LAG、VRRP、BFD、LLDP等功能；</w:t>
            </w:r>
          </w:p>
          <w:p w14:paraId="280AD6F4">
            <w:pPr>
              <w:rPr>
                <w:rFonts w:hint="eastAsia" w:ascii="宋体" w:hAnsi="宋体" w:eastAsia="宋体" w:cs="宋体"/>
                <w:color w:val="auto"/>
                <w:kern w:val="2"/>
                <w:sz w:val="21"/>
                <w:szCs w:val="22"/>
              </w:rPr>
            </w:pPr>
            <w:r>
              <w:rPr>
                <w:rFonts w:hint="eastAsia" w:ascii="宋体" w:hAnsi="宋体" w:eastAsia="宋体" w:cs="宋体"/>
                <w:color w:val="auto"/>
                <w:kern w:val="2"/>
                <w:sz w:val="21"/>
                <w:szCs w:val="22"/>
              </w:rPr>
              <w:t>1</w:t>
            </w:r>
            <w:r>
              <w:rPr>
                <w:rFonts w:hint="eastAsia" w:ascii="宋体" w:hAnsi="宋体" w:eastAsia="宋体" w:cs="宋体"/>
                <w:color w:val="auto"/>
                <w:kern w:val="2"/>
                <w:sz w:val="21"/>
                <w:szCs w:val="22"/>
                <w:lang w:val="en-US" w:eastAsia="zh-CN"/>
              </w:rPr>
              <w:t>1</w:t>
            </w:r>
            <w:r>
              <w:rPr>
                <w:rFonts w:hint="eastAsia" w:ascii="宋体" w:hAnsi="宋体" w:eastAsia="宋体" w:cs="宋体"/>
                <w:color w:val="auto"/>
                <w:kern w:val="2"/>
                <w:sz w:val="21"/>
                <w:szCs w:val="22"/>
              </w:rPr>
              <w:t>、</w:t>
            </w:r>
            <w:r>
              <w:rPr>
                <w:rFonts w:hint="eastAsia" w:ascii="宋体" w:hAnsi="宋体" w:eastAsia="宋体" w:cs="宋体"/>
                <w:color w:val="auto"/>
                <w:sz w:val="22"/>
                <w:szCs w:val="22"/>
              </w:rPr>
              <w:t>★</w:t>
            </w:r>
            <w:r>
              <w:rPr>
                <w:rFonts w:hint="eastAsia" w:ascii="宋体" w:hAnsi="宋体" w:eastAsia="宋体" w:cs="宋体"/>
                <w:color w:val="auto"/>
                <w:kern w:val="2"/>
                <w:sz w:val="21"/>
                <w:szCs w:val="22"/>
              </w:rPr>
              <w:t>支持DHCP Server、DHCP Client、DHCP Relay功能；</w:t>
            </w:r>
          </w:p>
          <w:p w14:paraId="3D9B820B">
            <w:pPr>
              <w:rPr>
                <w:rFonts w:hint="eastAsia" w:ascii="宋体" w:hAnsi="宋体" w:eastAsia="宋体" w:cs="宋体"/>
                <w:color w:val="auto"/>
                <w:sz w:val="22"/>
                <w:szCs w:val="22"/>
              </w:rPr>
            </w:pPr>
            <w:r>
              <w:rPr>
                <w:rFonts w:hint="eastAsia" w:ascii="宋体" w:hAnsi="宋体" w:eastAsia="宋体" w:cs="宋体"/>
                <w:color w:val="auto"/>
                <w:kern w:val="2"/>
                <w:sz w:val="21"/>
                <w:szCs w:val="22"/>
              </w:rPr>
              <w:t>1</w:t>
            </w:r>
            <w:r>
              <w:rPr>
                <w:rFonts w:hint="eastAsia" w:ascii="宋体" w:hAnsi="宋体" w:eastAsia="宋体" w:cs="宋体"/>
                <w:color w:val="auto"/>
                <w:kern w:val="2"/>
                <w:sz w:val="21"/>
                <w:szCs w:val="22"/>
                <w:lang w:val="en-US" w:eastAsia="zh-CN"/>
              </w:rPr>
              <w:t>2</w:t>
            </w:r>
            <w:bookmarkStart w:id="0" w:name="_GoBack"/>
            <w:bookmarkEnd w:id="0"/>
            <w:r>
              <w:rPr>
                <w:rFonts w:hint="eastAsia" w:ascii="宋体" w:hAnsi="宋体" w:eastAsia="宋体" w:cs="宋体"/>
                <w:color w:val="auto"/>
                <w:kern w:val="2"/>
                <w:sz w:val="21"/>
                <w:szCs w:val="22"/>
              </w:rPr>
              <w:t>、</w:t>
            </w:r>
            <w:r>
              <w:rPr>
                <w:rFonts w:hint="eastAsia" w:ascii="宋体" w:hAnsi="宋体" w:eastAsia="宋体" w:cs="宋体"/>
                <w:color w:val="auto"/>
                <w:sz w:val="22"/>
                <w:szCs w:val="22"/>
              </w:rPr>
              <w:t>▲</w:t>
            </w:r>
            <w:r>
              <w:rPr>
                <w:rFonts w:hint="eastAsia" w:ascii="宋体" w:hAnsi="宋体" w:eastAsia="宋体" w:cs="宋体"/>
                <w:color w:val="auto"/>
                <w:kern w:val="2"/>
                <w:sz w:val="21"/>
                <w:szCs w:val="22"/>
              </w:rPr>
              <w:t>序号1-2与1-3交换机数量之和最低3台，</w:t>
            </w:r>
            <w:r>
              <w:rPr>
                <w:rFonts w:hint="eastAsia" w:ascii="宋体" w:hAnsi="宋体" w:eastAsia="宋体" w:cs="宋体"/>
                <w:color w:val="auto"/>
                <w:sz w:val="22"/>
                <w:szCs w:val="22"/>
              </w:rPr>
              <w:t>超过最低数量两台</w:t>
            </w:r>
          </w:p>
        </w:tc>
      </w:tr>
      <w:tr w14:paraId="4F5F0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10" w:type="pct"/>
            <w:tcBorders>
              <w:tl2br w:val="nil"/>
              <w:tr2bl w:val="nil"/>
            </w:tcBorders>
            <w:vAlign w:val="center"/>
          </w:tcPr>
          <w:p w14:paraId="41CE5EE1">
            <w:pPr>
              <w:jc w:val="both"/>
              <w:rPr>
                <w:rFonts w:hint="eastAsia" w:ascii="宋体" w:hAnsi="宋体" w:eastAsia="宋体" w:cs="宋体"/>
                <w:color w:val="auto"/>
              </w:rPr>
            </w:pPr>
            <w:r>
              <w:rPr>
                <w:rFonts w:hint="eastAsia" w:ascii="宋体" w:hAnsi="宋体" w:eastAsia="宋体" w:cs="宋体"/>
                <w:color w:val="auto"/>
              </w:rPr>
              <w:t>1-4</w:t>
            </w:r>
          </w:p>
        </w:tc>
        <w:tc>
          <w:tcPr>
            <w:tcW w:w="802" w:type="pct"/>
            <w:tcBorders>
              <w:tl2br w:val="nil"/>
              <w:tr2bl w:val="nil"/>
            </w:tcBorders>
            <w:vAlign w:val="center"/>
          </w:tcPr>
          <w:p w14:paraId="251AC55E">
            <w:pPr>
              <w:jc w:val="center"/>
              <w:rPr>
                <w:rFonts w:hint="eastAsia" w:ascii="宋体" w:hAnsi="宋体" w:eastAsia="宋体" w:cs="宋体"/>
                <w:color w:val="auto"/>
              </w:rPr>
            </w:pPr>
            <w:r>
              <w:rPr>
                <w:rFonts w:hint="eastAsia" w:ascii="宋体" w:hAnsi="宋体" w:eastAsia="宋体" w:cs="宋体"/>
                <w:color w:val="auto"/>
              </w:rPr>
              <w:t>防火墙</w:t>
            </w:r>
          </w:p>
        </w:tc>
        <w:tc>
          <w:tcPr>
            <w:tcW w:w="3587" w:type="pct"/>
            <w:tcBorders>
              <w:tl2br w:val="nil"/>
              <w:tr2bl w:val="nil"/>
            </w:tcBorders>
            <w:vAlign w:val="center"/>
          </w:tcPr>
          <w:p w14:paraId="0F1262A5">
            <w:pPr>
              <w:rPr>
                <w:rFonts w:hint="eastAsia" w:ascii="宋体" w:hAnsi="宋体" w:eastAsia="宋体" w:cs="宋体"/>
                <w:color w:val="auto"/>
              </w:rPr>
            </w:pPr>
            <w:r>
              <w:rPr>
                <w:rFonts w:hint="eastAsia" w:ascii="宋体" w:hAnsi="宋体" w:eastAsia="宋体" w:cs="宋体"/>
                <w:color w:val="auto"/>
                <w:sz w:val="22"/>
                <w:szCs w:val="22"/>
              </w:rPr>
              <w:t>1、★端口：千兆电口≥2，千兆COMBO口≥8，万兆光口≥2；</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2、★整机吞吐量：大包1518Byte和小包64Byte≥2.5Gbps，威胁防护吞吐量≥1.5Gbps，会话新建速率≥8W，最大并发连接数≥300W，IPS吞吐量≥1.8Gbps</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3、设备关键芯片CPU芯片采用设备厂商自研芯片；</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4、在识别业务应用的基础上，可管理每用户/IP使用的带宽, 确保关键业务和关键用户的网络体验。管控方式包括：限制最大带宽或保障最小带宽、修改应用转发优先级等；</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5、▲满足IPv6演进需求，支持一条安全策略中同时配置ipv4和ipv6地址，提供佐证材料；</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6、支持静态路由、策略路由、RIP、OSPF、BGP、ISIS等路由协议</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7、▲检测能力要求：设备支持最大100层的病毒压缩文件检测和阻断，提供佐证材料；</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8、▲支持丰富高可靠性的VPN特性，如IPSec VPN、SSL VPN、GRE等；支持SM2证书双向身份认证、SM3完整性校验、SM4 加密业务报文功能；</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9、★支持基于业务的策略路由，在多出口场景下可根据多种负载均衡算法（如带宽比例、链路健康状态等）进行智能选路；</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10、识别应用层协议数量≥6000种，病毒库覆盖上亿级变种病毒；</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11、★支持数据防泄露，对传输的文件和内容进行识别过滤，对内容与身份证、信用卡、银行卡、社会安全卡号等类型进行匹配；</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12、★实配：240G硬盘，威胁防护特征库升级授权≥3年；100个SSL VPN授权；</w:t>
            </w:r>
          </w:p>
        </w:tc>
      </w:tr>
      <w:tr w14:paraId="4765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10" w:type="pct"/>
            <w:tcBorders>
              <w:tl2br w:val="nil"/>
              <w:tr2bl w:val="nil"/>
            </w:tcBorders>
            <w:vAlign w:val="center"/>
          </w:tcPr>
          <w:p w14:paraId="0CF416CE">
            <w:pPr>
              <w:jc w:val="both"/>
              <w:rPr>
                <w:rFonts w:hint="eastAsia" w:ascii="宋体" w:hAnsi="宋体" w:eastAsia="宋体" w:cs="宋体"/>
                <w:color w:val="auto"/>
              </w:rPr>
            </w:pPr>
            <w:r>
              <w:rPr>
                <w:rFonts w:hint="eastAsia" w:ascii="宋体" w:hAnsi="宋体" w:eastAsia="宋体" w:cs="宋体"/>
                <w:color w:val="auto"/>
              </w:rPr>
              <w:t>1-5</w:t>
            </w:r>
          </w:p>
        </w:tc>
        <w:tc>
          <w:tcPr>
            <w:tcW w:w="802" w:type="pct"/>
            <w:tcBorders>
              <w:tl2br w:val="nil"/>
              <w:tr2bl w:val="nil"/>
            </w:tcBorders>
            <w:vAlign w:val="center"/>
          </w:tcPr>
          <w:p w14:paraId="0B1B866D">
            <w:pPr>
              <w:jc w:val="center"/>
              <w:rPr>
                <w:rFonts w:hint="eastAsia" w:ascii="宋体" w:hAnsi="宋体" w:eastAsia="宋体" w:cs="宋体"/>
                <w:color w:val="auto"/>
              </w:rPr>
            </w:pPr>
            <w:r>
              <w:rPr>
                <w:rFonts w:hint="eastAsia" w:ascii="宋体" w:hAnsi="宋体" w:eastAsia="宋体" w:cs="宋体"/>
                <w:color w:val="auto"/>
              </w:rPr>
              <w:t>无线AC</w:t>
            </w:r>
          </w:p>
        </w:tc>
        <w:tc>
          <w:tcPr>
            <w:tcW w:w="3587" w:type="pct"/>
            <w:tcBorders>
              <w:tl2br w:val="nil"/>
              <w:tr2bl w:val="nil"/>
            </w:tcBorders>
            <w:vAlign w:val="center"/>
          </w:tcPr>
          <w:p w14:paraId="3A00AFCE">
            <w:pPr>
              <w:rPr>
                <w:rFonts w:hint="eastAsia" w:ascii="宋体" w:hAnsi="宋体" w:eastAsia="宋体" w:cs="宋体"/>
                <w:color w:val="auto"/>
              </w:rPr>
            </w:pPr>
            <w:r>
              <w:rPr>
                <w:rFonts w:hint="eastAsia" w:ascii="宋体" w:hAnsi="宋体" w:eastAsia="宋体" w:cs="宋体"/>
                <w:color w:val="auto"/>
                <w:sz w:val="22"/>
                <w:szCs w:val="22"/>
              </w:rPr>
              <w:t>1、★提供2个10GE 光口, 10个GE 电口，最大可转发10Gbps的数据；</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2、★最大可管理512个AP，本次配置2个AP管理授权；</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3、▲支持直连式，旁挂式和桥接/Mesh 组网模式，同时支持数据集中转发和本地转发模式。</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4、支持广域逃生，本地转发模式下，AP 与 WLAN AC 连接中断后，原有用户在线、新用户正常接入，业务不中断。</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5、设备关键芯片CPU芯片采用国产芯片；</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6、支持反病毒功能，支持病毒库更新；</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7、支持入侵防御，检测和中止入侵行为；</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8、▲支持VIP用户识别和优先调度，VIP用户可无视任何限速策略，并可获得空口报文的优先级提升；</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9、支持基于802.11k 和 802.11v协议的智能漫游，使低漫游灵敏度的客户端能漫游到最佳AP；</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10、▲支持设备冗余备份功能，可支持1+1或N+1备份，并支持主备AC间配置同步</w:t>
            </w:r>
          </w:p>
        </w:tc>
      </w:tr>
      <w:tr w14:paraId="69A2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10" w:type="pct"/>
            <w:tcBorders>
              <w:tl2br w:val="nil"/>
              <w:tr2bl w:val="nil"/>
            </w:tcBorders>
            <w:vAlign w:val="center"/>
          </w:tcPr>
          <w:p w14:paraId="150C3267">
            <w:pPr>
              <w:jc w:val="both"/>
              <w:rPr>
                <w:rFonts w:hint="eastAsia" w:ascii="宋体" w:hAnsi="宋体" w:eastAsia="宋体" w:cs="宋体"/>
                <w:color w:val="auto"/>
              </w:rPr>
            </w:pPr>
            <w:r>
              <w:rPr>
                <w:rFonts w:hint="eastAsia" w:ascii="宋体" w:hAnsi="宋体" w:eastAsia="宋体" w:cs="宋体"/>
                <w:color w:val="auto"/>
              </w:rPr>
              <w:t>1-6</w:t>
            </w:r>
          </w:p>
        </w:tc>
        <w:tc>
          <w:tcPr>
            <w:tcW w:w="802" w:type="pct"/>
            <w:tcBorders>
              <w:tl2br w:val="nil"/>
              <w:tr2bl w:val="nil"/>
            </w:tcBorders>
            <w:vAlign w:val="center"/>
          </w:tcPr>
          <w:p w14:paraId="0FF6434E">
            <w:pPr>
              <w:jc w:val="center"/>
              <w:rPr>
                <w:rFonts w:hint="eastAsia" w:ascii="宋体" w:hAnsi="宋体" w:eastAsia="宋体" w:cs="宋体"/>
                <w:color w:val="auto"/>
              </w:rPr>
            </w:pPr>
            <w:r>
              <w:rPr>
                <w:rFonts w:hint="eastAsia" w:ascii="宋体" w:hAnsi="宋体" w:eastAsia="宋体" w:cs="宋体"/>
                <w:color w:val="auto"/>
              </w:rPr>
              <w:t>无线AP</w:t>
            </w:r>
          </w:p>
        </w:tc>
        <w:tc>
          <w:tcPr>
            <w:tcW w:w="3587" w:type="pct"/>
            <w:tcBorders>
              <w:tl2br w:val="nil"/>
              <w:tr2bl w:val="nil"/>
            </w:tcBorders>
            <w:vAlign w:val="center"/>
          </w:tcPr>
          <w:p w14:paraId="7580CF6A">
            <w:pPr>
              <w:rPr>
                <w:rFonts w:hint="eastAsia" w:ascii="宋体" w:hAnsi="宋体" w:eastAsia="宋体" w:cs="宋体"/>
                <w:color w:val="auto"/>
              </w:rPr>
            </w:pPr>
            <w:r>
              <w:rPr>
                <w:rFonts w:hint="eastAsia" w:ascii="宋体" w:hAnsi="宋体" w:eastAsia="宋体" w:cs="宋体"/>
                <w:color w:val="auto"/>
                <w:sz w:val="22"/>
                <w:szCs w:val="22"/>
              </w:rPr>
              <w:t>1、★支持无线协议 802.11a/b/g/n/ac/ac wave2/ax/be；</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2、★支持 2.4GHz(2x2)+5GHz(2x2)双射频同时工作，其中 2.4GHz 频段最大速率 ≥400Mbps，5GHz 频段最大速率≥2.8Gbps，整机速率≥ 3.2Gbps</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3、★2.5G电口≥1个；</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4、★内置智能天线，基于智能切换算法自动调节覆盖方向和信号强度，以适应应用环境变化，并且可以随终端的移动进行精准稳定的覆盖；</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5、▲内置蓝牙，可实现蓝牙串口运维；提供佐证材料；</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6、▲支持利用无线信号传播时产生的通道状态信息实现感知人员存在或提供基于无线人员信息感知方案，提供佐证材料；</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7、天线增益2.4G不低于4dBi，5G不低于5dBi，天线功率不低于23dBm；</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8、设备关键芯片CPU芯片和WI-FI基带芯片均采用设备国产自研芯片</w:t>
            </w:r>
            <w:r>
              <w:rPr>
                <w:rFonts w:hint="eastAsia" w:ascii="宋体" w:hAnsi="宋体" w:eastAsia="宋体" w:cs="宋体"/>
                <w:b/>
                <w:bCs/>
                <w:color w:val="auto"/>
                <w:sz w:val="22"/>
                <w:szCs w:val="22"/>
              </w:rPr>
              <w:t>；</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9、 支持MLO（Multi-Link Operation）冗余传输功能，提升无线网络可靠性；</w:t>
            </w:r>
          </w:p>
        </w:tc>
      </w:tr>
      <w:tr w14:paraId="7810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000" w:type="pct"/>
            <w:gridSpan w:val="3"/>
            <w:tcBorders>
              <w:tl2br w:val="nil"/>
              <w:tr2bl w:val="nil"/>
            </w:tcBorders>
            <w:shd w:val="clear" w:color="auto" w:fill="FFFF00"/>
            <w:vAlign w:val="center"/>
          </w:tcPr>
          <w:p w14:paraId="08A68A33">
            <w:pPr>
              <w:jc w:val="center"/>
              <w:rPr>
                <w:rFonts w:hint="eastAsia" w:ascii="宋体" w:hAnsi="宋体" w:eastAsia="宋体" w:cs="宋体"/>
                <w:color w:val="auto"/>
              </w:rPr>
            </w:pPr>
            <w:r>
              <w:rPr>
                <w:rFonts w:hint="eastAsia" w:ascii="宋体" w:hAnsi="宋体" w:eastAsia="宋体" w:cs="宋体"/>
                <w:color w:val="auto"/>
              </w:rPr>
              <w:t>网管平台及控制器(一组)</w:t>
            </w:r>
          </w:p>
        </w:tc>
      </w:tr>
      <w:tr w14:paraId="22D9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10" w:type="pct"/>
            <w:tcBorders>
              <w:tl2br w:val="nil"/>
              <w:tr2bl w:val="nil"/>
            </w:tcBorders>
            <w:vAlign w:val="center"/>
          </w:tcPr>
          <w:p w14:paraId="28A446E0">
            <w:pPr>
              <w:jc w:val="both"/>
              <w:rPr>
                <w:rFonts w:hint="eastAsia" w:ascii="宋体" w:hAnsi="宋体" w:eastAsia="宋体" w:cs="宋体"/>
                <w:color w:val="auto"/>
              </w:rPr>
            </w:pPr>
            <w:r>
              <w:rPr>
                <w:rFonts w:hint="eastAsia" w:ascii="宋体" w:hAnsi="宋体" w:eastAsia="宋体" w:cs="宋体"/>
                <w:color w:val="auto"/>
              </w:rPr>
              <w:t>2-1</w:t>
            </w:r>
          </w:p>
        </w:tc>
        <w:tc>
          <w:tcPr>
            <w:tcW w:w="802" w:type="pct"/>
            <w:tcBorders>
              <w:tl2br w:val="nil"/>
              <w:tr2bl w:val="nil"/>
            </w:tcBorders>
            <w:vAlign w:val="center"/>
          </w:tcPr>
          <w:p w14:paraId="413FD71E">
            <w:pPr>
              <w:jc w:val="both"/>
              <w:rPr>
                <w:rFonts w:hint="eastAsia" w:ascii="宋体" w:hAnsi="宋体" w:eastAsia="宋体" w:cs="宋体"/>
                <w:color w:val="auto"/>
              </w:rPr>
            </w:pPr>
            <w:r>
              <w:rPr>
                <w:rFonts w:hint="eastAsia" w:ascii="宋体" w:hAnsi="宋体" w:eastAsia="宋体" w:cs="宋体"/>
                <w:color w:val="auto"/>
              </w:rPr>
              <w:t>网管平台</w:t>
            </w:r>
          </w:p>
        </w:tc>
        <w:tc>
          <w:tcPr>
            <w:tcW w:w="3587" w:type="pct"/>
            <w:tcBorders>
              <w:tl2br w:val="nil"/>
              <w:tr2bl w:val="nil"/>
            </w:tcBorders>
          </w:tcPr>
          <w:p w14:paraId="492C6846">
            <w:pPr>
              <w:jc w:val="both"/>
              <w:rPr>
                <w:rFonts w:hint="eastAsia" w:ascii="宋体" w:hAnsi="宋体" w:eastAsia="宋体" w:cs="宋体"/>
                <w:color w:val="auto"/>
                <w:sz w:val="22"/>
                <w:szCs w:val="22"/>
              </w:rPr>
            </w:pPr>
            <w:r>
              <w:rPr>
                <w:rFonts w:hint="eastAsia" w:ascii="宋体" w:hAnsi="宋体" w:eastAsia="宋体" w:cs="宋体"/>
                <w:color w:val="auto"/>
                <w:sz w:val="22"/>
                <w:szCs w:val="22"/>
              </w:rPr>
              <w:t>1、支持基于用户、业务优先级的多级QoS层次化调度能力，实现不同用户，不同应用， 有不同的策略，带宽策略管控更精细，更有效保障用户的接入体验；</w:t>
            </w:r>
          </w:p>
          <w:p w14:paraId="47A91F1E">
            <w:pPr>
              <w:jc w:val="both"/>
              <w:rPr>
                <w:rFonts w:hint="eastAsia" w:ascii="宋体" w:hAnsi="宋体" w:eastAsia="宋体" w:cs="宋体"/>
                <w:color w:val="auto"/>
                <w:sz w:val="22"/>
                <w:szCs w:val="22"/>
              </w:rPr>
            </w:pPr>
            <w:r>
              <w:rPr>
                <w:rFonts w:hint="eastAsia" w:ascii="宋体" w:hAnsi="宋体" w:eastAsia="宋体" w:cs="宋体"/>
                <w:color w:val="auto"/>
                <w:sz w:val="22"/>
                <w:szCs w:val="22"/>
              </w:rPr>
              <w:t>2、支持分权分域，在三级用户管理模型中，可基于管理员的角色、站点等设置不同的管理员；</w:t>
            </w:r>
          </w:p>
          <w:p w14:paraId="3E1BABFF">
            <w:pPr>
              <w:jc w:val="both"/>
              <w:rPr>
                <w:rFonts w:hint="eastAsia" w:ascii="宋体" w:hAnsi="宋体" w:eastAsia="宋体" w:cs="宋体"/>
                <w:color w:val="auto"/>
                <w:sz w:val="22"/>
                <w:szCs w:val="22"/>
              </w:rPr>
            </w:pPr>
            <w:r>
              <w:rPr>
                <w:rFonts w:hint="eastAsia" w:ascii="宋体" w:hAnsi="宋体" w:eastAsia="宋体" w:cs="宋体"/>
                <w:color w:val="auto"/>
                <w:sz w:val="22"/>
                <w:szCs w:val="22"/>
              </w:rPr>
              <w:t>3、支持网络部署自动化、虚拟网络业务发放自动化、LAN-WAN多分支互联自动化、广域互联自动化；</w:t>
            </w:r>
          </w:p>
          <w:p w14:paraId="46A23745">
            <w:pPr>
              <w:jc w:val="both"/>
              <w:rPr>
                <w:rFonts w:hint="eastAsia" w:ascii="宋体" w:hAnsi="宋体" w:eastAsia="宋体" w:cs="宋体"/>
                <w:color w:val="auto"/>
                <w:sz w:val="22"/>
                <w:szCs w:val="22"/>
              </w:rPr>
            </w:pPr>
            <w:r>
              <w:rPr>
                <w:rFonts w:hint="eastAsia" w:ascii="宋体" w:hAnsi="宋体" w:eastAsia="宋体" w:cs="宋体"/>
                <w:color w:val="auto"/>
                <w:sz w:val="22"/>
                <w:szCs w:val="22"/>
              </w:rPr>
              <w:t>4、业务可视化配置，提供基于拓扑的虚拟网络配置和监控，实时查看业务下发状态；</w:t>
            </w:r>
          </w:p>
          <w:p w14:paraId="582F1F8B">
            <w:pPr>
              <w:jc w:val="both"/>
              <w:rPr>
                <w:rFonts w:hint="eastAsia" w:ascii="宋体" w:hAnsi="宋体" w:eastAsia="宋体" w:cs="宋体"/>
                <w:color w:val="auto"/>
                <w:sz w:val="22"/>
                <w:szCs w:val="22"/>
              </w:rPr>
            </w:pPr>
            <w:r>
              <w:rPr>
                <w:rFonts w:hint="eastAsia" w:ascii="宋体" w:hAnsi="宋体" w:eastAsia="宋体" w:cs="宋体"/>
                <w:color w:val="auto"/>
                <w:sz w:val="22"/>
                <w:szCs w:val="22"/>
              </w:rPr>
              <w:t>5、支持实配所有采购网络设备管理授权；</w:t>
            </w:r>
          </w:p>
        </w:tc>
      </w:tr>
      <w:tr w14:paraId="62979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610" w:type="pct"/>
            <w:tcBorders>
              <w:tl2br w:val="nil"/>
              <w:tr2bl w:val="nil"/>
            </w:tcBorders>
            <w:vAlign w:val="center"/>
          </w:tcPr>
          <w:p w14:paraId="1CFE0E13">
            <w:pPr>
              <w:jc w:val="both"/>
              <w:rPr>
                <w:rFonts w:hint="eastAsia" w:ascii="宋体" w:hAnsi="宋体" w:eastAsia="宋体" w:cs="宋体"/>
                <w:color w:val="auto"/>
              </w:rPr>
            </w:pPr>
            <w:r>
              <w:rPr>
                <w:rFonts w:hint="eastAsia" w:ascii="宋体" w:hAnsi="宋体" w:eastAsia="宋体" w:cs="宋体"/>
                <w:color w:val="auto"/>
              </w:rPr>
              <w:t>2-2</w:t>
            </w:r>
          </w:p>
        </w:tc>
        <w:tc>
          <w:tcPr>
            <w:tcW w:w="802" w:type="pct"/>
            <w:tcBorders>
              <w:tl2br w:val="nil"/>
              <w:tr2bl w:val="nil"/>
            </w:tcBorders>
            <w:vAlign w:val="center"/>
          </w:tcPr>
          <w:p w14:paraId="596EA5AC">
            <w:pPr>
              <w:jc w:val="both"/>
              <w:rPr>
                <w:rFonts w:hint="eastAsia" w:ascii="宋体" w:hAnsi="宋体" w:eastAsia="宋体" w:cs="宋体"/>
                <w:color w:val="auto"/>
              </w:rPr>
            </w:pPr>
            <w:r>
              <w:rPr>
                <w:rFonts w:hint="eastAsia" w:ascii="宋体" w:hAnsi="宋体" w:eastAsia="宋体" w:cs="宋体"/>
                <w:color w:val="auto"/>
              </w:rPr>
              <w:t>服务器</w:t>
            </w:r>
          </w:p>
        </w:tc>
        <w:tc>
          <w:tcPr>
            <w:tcW w:w="3587" w:type="pct"/>
            <w:tcBorders>
              <w:tl2br w:val="nil"/>
              <w:tr2bl w:val="nil"/>
            </w:tcBorders>
            <w:vAlign w:val="center"/>
          </w:tcPr>
          <w:p w14:paraId="04D6AF39">
            <w:pPr>
              <w:jc w:val="both"/>
              <w:rPr>
                <w:rFonts w:hint="eastAsia" w:ascii="宋体" w:hAnsi="宋体" w:eastAsia="宋体" w:cs="宋体"/>
                <w:color w:val="auto"/>
                <w:sz w:val="22"/>
                <w:szCs w:val="22"/>
              </w:rPr>
            </w:pPr>
            <w:r>
              <w:rPr>
                <w:rFonts w:hint="eastAsia" w:ascii="宋体" w:hAnsi="宋体" w:eastAsia="宋体" w:cs="宋体"/>
                <w:color w:val="auto"/>
                <w:sz w:val="22"/>
                <w:szCs w:val="22"/>
              </w:rPr>
              <w:t>1、★2个</w:t>
            </w:r>
            <w:r>
              <w:rPr>
                <w:rFonts w:hint="eastAsia" w:ascii="宋体" w:hAnsi="宋体" w:eastAsia="宋体" w:cs="宋体"/>
                <w:color w:val="auto"/>
                <w:sz w:val="18"/>
                <w:szCs w:val="18"/>
                <w:lang w:bidi="ar"/>
              </w:rPr>
              <w:t>≥</w:t>
            </w:r>
            <w:r>
              <w:rPr>
                <w:rFonts w:hint="eastAsia" w:ascii="宋体" w:hAnsi="宋体" w:eastAsia="宋体" w:cs="宋体"/>
                <w:color w:val="auto"/>
                <w:sz w:val="22"/>
                <w:szCs w:val="22"/>
              </w:rPr>
              <w:t>2.1GHz/32核/160MB/270W)CPU模块;</w:t>
            </w:r>
          </w:p>
          <w:p w14:paraId="3B0CDB39">
            <w:pPr>
              <w:jc w:val="both"/>
              <w:rPr>
                <w:rFonts w:hint="eastAsia" w:ascii="宋体" w:hAnsi="宋体" w:eastAsia="宋体" w:cs="宋体"/>
                <w:color w:val="auto"/>
                <w:sz w:val="22"/>
                <w:szCs w:val="22"/>
              </w:rPr>
            </w:pPr>
            <w:r>
              <w:rPr>
                <w:rFonts w:hint="eastAsia" w:ascii="宋体" w:hAnsi="宋体" w:eastAsia="宋体" w:cs="宋体"/>
                <w:color w:val="auto"/>
                <w:sz w:val="22"/>
                <w:szCs w:val="22"/>
              </w:rPr>
              <w:t>2、★4 * 32GB 2Rx8 DDR5-6400B(CAS 52-52-52)内存模块;</w:t>
            </w:r>
          </w:p>
          <w:p w14:paraId="7742F86A">
            <w:pPr>
              <w:jc w:val="both"/>
              <w:rPr>
                <w:rFonts w:hint="eastAsia" w:ascii="宋体" w:hAnsi="宋体" w:eastAsia="宋体" w:cs="宋体"/>
                <w:color w:val="auto"/>
                <w:sz w:val="22"/>
                <w:szCs w:val="22"/>
              </w:rPr>
            </w:pPr>
            <w:r>
              <w:rPr>
                <w:rFonts w:hint="eastAsia" w:ascii="宋体" w:hAnsi="宋体" w:eastAsia="宋体" w:cs="宋体"/>
                <w:color w:val="auto"/>
                <w:sz w:val="22"/>
                <w:szCs w:val="22"/>
              </w:rPr>
              <w:t>3、</w:t>
            </w:r>
            <w:r>
              <w:rPr>
                <w:rFonts w:hint="eastAsia" w:ascii="宋体" w:hAnsi="宋体" w:eastAsia="宋体" w:cs="宋体"/>
                <w:color w:val="auto"/>
              </w:rPr>
              <w:t>▲</w:t>
            </w:r>
            <w:r>
              <w:rPr>
                <w:rFonts w:hint="eastAsia" w:ascii="宋体" w:hAnsi="宋体" w:eastAsia="宋体" w:cs="宋体"/>
                <w:b/>
                <w:bCs/>
                <w:color w:val="auto"/>
                <w:sz w:val="22"/>
                <w:szCs w:val="22"/>
              </w:rPr>
              <w:t>4 * 1.92TB 6Gb/s SATA 3.5in SSD UCC 通用硬盘模块</w:t>
            </w:r>
            <w:r>
              <w:rPr>
                <w:rFonts w:hint="eastAsia" w:ascii="宋体" w:hAnsi="宋体" w:eastAsia="宋体" w:cs="宋体"/>
                <w:color w:val="auto"/>
                <w:sz w:val="22"/>
                <w:szCs w:val="22"/>
              </w:rPr>
              <w:t xml:space="preserve"> ;</w:t>
            </w:r>
          </w:p>
          <w:p w14:paraId="5F40EB20">
            <w:pPr>
              <w:jc w:val="both"/>
              <w:rPr>
                <w:rFonts w:hint="eastAsia" w:ascii="宋体" w:hAnsi="宋体" w:eastAsia="宋体" w:cs="宋体"/>
                <w:color w:val="auto"/>
                <w:sz w:val="22"/>
                <w:szCs w:val="22"/>
              </w:rPr>
            </w:pPr>
            <w:r>
              <w:rPr>
                <w:rFonts w:hint="eastAsia" w:ascii="宋体" w:hAnsi="宋体" w:eastAsia="宋体" w:cs="宋体"/>
                <w:color w:val="auto"/>
                <w:sz w:val="22"/>
                <w:szCs w:val="22"/>
              </w:rPr>
              <w:t>4、12G SAS HBA卡模块(支持8个SAS Port,PCIe);</w:t>
            </w:r>
          </w:p>
          <w:p w14:paraId="588904C3">
            <w:pPr>
              <w:jc w:val="both"/>
              <w:rPr>
                <w:rFonts w:hint="eastAsia" w:ascii="宋体" w:hAnsi="宋体" w:eastAsia="宋体" w:cs="宋体"/>
                <w:color w:val="auto"/>
                <w:sz w:val="22"/>
                <w:szCs w:val="22"/>
              </w:rPr>
            </w:pPr>
            <w:r>
              <w:rPr>
                <w:rFonts w:hint="eastAsia" w:ascii="宋体" w:hAnsi="宋体" w:eastAsia="宋体" w:cs="宋体"/>
                <w:color w:val="auto"/>
                <w:sz w:val="22"/>
                <w:szCs w:val="22"/>
              </w:rPr>
              <w:t>5、4端口1Gb/s，PCIe2.1 x4 电接口；</w:t>
            </w:r>
          </w:p>
          <w:p w14:paraId="1B889A63">
            <w:pPr>
              <w:jc w:val="both"/>
              <w:rPr>
                <w:rFonts w:hint="eastAsia" w:ascii="宋体" w:hAnsi="宋体" w:eastAsia="宋体" w:cs="宋体"/>
                <w:color w:val="auto"/>
                <w:sz w:val="22"/>
                <w:szCs w:val="22"/>
              </w:rPr>
            </w:pPr>
            <w:r>
              <w:rPr>
                <w:rFonts w:hint="eastAsia" w:ascii="宋体" w:hAnsi="宋体" w:eastAsia="宋体" w:cs="宋体"/>
                <w:color w:val="auto"/>
                <w:sz w:val="22"/>
                <w:szCs w:val="22"/>
              </w:rPr>
              <w:t>6、</w:t>
            </w:r>
            <w:r>
              <w:rPr>
                <w:rFonts w:hint="eastAsia" w:ascii="宋体" w:hAnsi="宋体" w:eastAsia="宋体" w:cs="宋体"/>
                <w:color w:val="auto"/>
              </w:rPr>
              <w:t>▲</w:t>
            </w:r>
            <w:r>
              <w:rPr>
                <w:rFonts w:hint="eastAsia" w:ascii="宋体" w:hAnsi="宋体" w:eastAsia="宋体" w:cs="宋体"/>
                <w:color w:val="auto"/>
                <w:sz w:val="22"/>
                <w:szCs w:val="22"/>
              </w:rPr>
              <w:t>Raid卡(4G cache,带超级电容)；</w:t>
            </w:r>
          </w:p>
        </w:tc>
      </w:tr>
      <w:tr w14:paraId="4A93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10" w:type="pct"/>
            <w:tcBorders>
              <w:tl2br w:val="nil"/>
              <w:tr2bl w:val="nil"/>
            </w:tcBorders>
            <w:vAlign w:val="center"/>
          </w:tcPr>
          <w:p w14:paraId="6B9D8ABC">
            <w:pPr>
              <w:jc w:val="both"/>
              <w:rPr>
                <w:rFonts w:hint="eastAsia" w:ascii="宋体" w:hAnsi="宋体" w:eastAsia="宋体" w:cs="宋体"/>
                <w:color w:val="auto"/>
              </w:rPr>
            </w:pPr>
            <w:r>
              <w:rPr>
                <w:rFonts w:hint="eastAsia" w:ascii="宋体" w:hAnsi="宋体" w:eastAsia="宋体" w:cs="宋体"/>
                <w:color w:val="auto"/>
              </w:rPr>
              <w:t>2-3</w:t>
            </w:r>
          </w:p>
        </w:tc>
        <w:tc>
          <w:tcPr>
            <w:tcW w:w="802" w:type="pct"/>
            <w:tcBorders>
              <w:tl2br w:val="nil"/>
              <w:tr2bl w:val="nil"/>
            </w:tcBorders>
            <w:vAlign w:val="center"/>
          </w:tcPr>
          <w:p w14:paraId="15E03254">
            <w:pPr>
              <w:jc w:val="both"/>
              <w:rPr>
                <w:rFonts w:hint="eastAsia" w:ascii="宋体" w:hAnsi="宋体" w:eastAsia="宋体" w:cs="宋体"/>
                <w:color w:val="auto"/>
                <w:sz w:val="22"/>
                <w:szCs w:val="22"/>
              </w:rPr>
            </w:pPr>
            <w:r>
              <w:rPr>
                <w:rFonts w:hint="eastAsia" w:ascii="宋体" w:hAnsi="宋体" w:eastAsia="宋体" w:cs="宋体"/>
                <w:color w:val="auto"/>
                <w:sz w:val="22"/>
                <w:szCs w:val="22"/>
              </w:rPr>
              <w:t>网络设备控制器</w:t>
            </w:r>
          </w:p>
        </w:tc>
        <w:tc>
          <w:tcPr>
            <w:tcW w:w="3587" w:type="pct"/>
            <w:tcBorders>
              <w:tl2br w:val="nil"/>
              <w:tr2bl w:val="nil"/>
            </w:tcBorders>
            <w:vAlign w:val="center"/>
          </w:tcPr>
          <w:p w14:paraId="54F786DF">
            <w:pPr>
              <w:jc w:val="both"/>
              <w:rPr>
                <w:rFonts w:hint="eastAsia" w:ascii="宋体" w:hAnsi="宋体" w:eastAsia="宋体" w:cs="宋体"/>
                <w:color w:val="auto"/>
                <w:sz w:val="22"/>
                <w:szCs w:val="22"/>
              </w:rPr>
            </w:pPr>
            <w:r>
              <w:rPr>
                <w:rFonts w:hint="eastAsia" w:ascii="宋体" w:hAnsi="宋体" w:eastAsia="宋体" w:cs="宋体"/>
                <w:color w:val="auto"/>
                <w:sz w:val="22"/>
                <w:szCs w:val="22"/>
              </w:rPr>
              <w:t>各投标人依据所投产品数量提供带外网管方式，支持学生能通过控制器配置网络设备，具体技术规格要求如下：</w:t>
            </w:r>
          </w:p>
          <w:p w14:paraId="36FE085B">
            <w:pPr>
              <w:rPr>
                <w:rFonts w:hint="eastAsia" w:ascii="宋体" w:hAnsi="宋体" w:eastAsia="宋体" w:cs="宋体"/>
                <w:color w:val="auto"/>
                <w:sz w:val="22"/>
                <w:szCs w:val="22"/>
              </w:rPr>
            </w:pPr>
            <w:r>
              <w:rPr>
                <w:rFonts w:hint="eastAsia" w:ascii="宋体" w:hAnsi="宋体" w:eastAsia="宋体" w:cs="宋体"/>
                <w:color w:val="auto"/>
                <w:sz w:val="22"/>
                <w:szCs w:val="22"/>
              </w:rPr>
              <w:t>1、★交换容量≥672Gbps，包转发率≥207 Mpps；</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2、★千兆电口≥48个，千兆光口≥4个；</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3、设备关键芯片CPU芯片和转发芯片均采用设备国产自研芯片；</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4、支持静态路由、路由策略、策略路由、 RIPv1/v2、RIPng、OSPFv2、OSPFv3；</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5、支持 SP、DRR、WDRR、SP+DRR、SP+WDRR 队列调度算法；</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6、支持智能堆叠 iStack、堆叠快速升级，支持最大 9 机堆叠；</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7、▲支持 MAC 地址、802.1x 和 Portal 认证等多种安全认证方式，实现用户策略（VLAN、QoS、ACL）的动态下发；</w:t>
            </w:r>
            <w:r>
              <w:rPr>
                <w:rFonts w:hint="eastAsia" w:ascii="宋体" w:hAnsi="宋体" w:eastAsia="宋体" w:cs="宋体"/>
                <w:color w:val="auto"/>
                <w:sz w:val="22"/>
                <w:szCs w:val="22"/>
              </w:rPr>
              <w:br w:type="textWrapping"/>
            </w:r>
            <w:r>
              <w:rPr>
                <w:rFonts w:hint="eastAsia" w:ascii="宋体" w:hAnsi="宋体" w:eastAsia="宋体" w:cs="宋体"/>
                <w:color w:val="auto"/>
                <w:sz w:val="22"/>
                <w:szCs w:val="22"/>
              </w:rPr>
              <w:t>8、▲支持网络包守恒算法，可通过直接对业务报文进行标记的方法，实现对网络和设备的丢包情况进行统计,提供佐证材料；</w:t>
            </w:r>
          </w:p>
        </w:tc>
      </w:tr>
      <w:tr w14:paraId="63193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000" w:type="pct"/>
            <w:gridSpan w:val="3"/>
            <w:tcBorders>
              <w:tl2br w:val="nil"/>
              <w:tr2bl w:val="nil"/>
            </w:tcBorders>
            <w:shd w:val="clear" w:color="auto" w:fill="FFFF00"/>
            <w:vAlign w:val="center"/>
          </w:tcPr>
          <w:p w14:paraId="1319E2A9">
            <w:pPr>
              <w:jc w:val="center"/>
              <w:rPr>
                <w:rFonts w:hint="eastAsia" w:ascii="宋体" w:hAnsi="宋体" w:eastAsia="宋体" w:cs="宋体"/>
                <w:color w:val="auto"/>
              </w:rPr>
            </w:pPr>
            <w:r>
              <w:rPr>
                <w:rFonts w:hint="eastAsia" w:ascii="宋体" w:hAnsi="宋体" w:eastAsia="宋体" w:cs="宋体"/>
                <w:color w:val="auto"/>
                <w:sz w:val="22"/>
                <w:szCs w:val="22"/>
              </w:rPr>
              <w:t>系统集成与相关配套</w:t>
            </w:r>
          </w:p>
        </w:tc>
      </w:tr>
      <w:tr w14:paraId="38493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10" w:type="pct"/>
            <w:tcBorders>
              <w:tl2br w:val="nil"/>
              <w:tr2bl w:val="nil"/>
            </w:tcBorders>
            <w:vAlign w:val="center"/>
          </w:tcPr>
          <w:p w14:paraId="58EEBB93">
            <w:pPr>
              <w:jc w:val="both"/>
              <w:rPr>
                <w:rFonts w:hint="eastAsia" w:ascii="宋体" w:hAnsi="宋体" w:eastAsia="宋体" w:cs="宋体"/>
                <w:color w:val="auto"/>
              </w:rPr>
            </w:pPr>
            <w:r>
              <w:rPr>
                <w:rFonts w:hint="eastAsia" w:ascii="宋体" w:hAnsi="宋体" w:eastAsia="宋体" w:cs="宋体"/>
                <w:color w:val="auto"/>
              </w:rPr>
              <w:t>3-1</w:t>
            </w:r>
          </w:p>
        </w:tc>
        <w:tc>
          <w:tcPr>
            <w:tcW w:w="802" w:type="pct"/>
            <w:tcBorders>
              <w:tl2br w:val="nil"/>
              <w:tr2bl w:val="nil"/>
            </w:tcBorders>
            <w:vAlign w:val="center"/>
          </w:tcPr>
          <w:p w14:paraId="599EE2F9">
            <w:pPr>
              <w:jc w:val="both"/>
              <w:rPr>
                <w:rFonts w:hint="eastAsia" w:ascii="宋体" w:hAnsi="宋体" w:eastAsia="宋体" w:cs="宋体"/>
                <w:color w:val="auto"/>
              </w:rPr>
            </w:pPr>
            <w:r>
              <w:rPr>
                <w:rFonts w:hint="eastAsia" w:ascii="宋体" w:hAnsi="宋体" w:eastAsia="宋体" w:cs="宋体"/>
                <w:color w:val="auto"/>
                <w:sz w:val="22"/>
                <w:szCs w:val="22"/>
              </w:rPr>
              <w:t>系统集成与相关配套</w:t>
            </w:r>
          </w:p>
        </w:tc>
        <w:tc>
          <w:tcPr>
            <w:tcW w:w="3587" w:type="pct"/>
            <w:tcBorders>
              <w:tl2br w:val="nil"/>
              <w:tr2bl w:val="nil"/>
            </w:tcBorders>
            <w:vAlign w:val="center"/>
          </w:tcPr>
          <w:p w14:paraId="3F764BDD">
            <w:pPr>
              <w:jc w:val="both"/>
              <w:rPr>
                <w:rFonts w:hint="eastAsia" w:ascii="宋体" w:hAnsi="宋体" w:eastAsia="宋体" w:cs="宋体"/>
                <w:color w:val="auto"/>
              </w:rPr>
            </w:pPr>
            <w:r>
              <w:rPr>
                <w:rFonts w:hint="eastAsia" w:ascii="宋体" w:hAnsi="宋体" w:eastAsia="宋体" w:cs="宋体"/>
                <w:color w:val="auto"/>
                <w:sz w:val="22"/>
                <w:szCs w:val="22"/>
              </w:rPr>
              <w:t>提供设备上架、调试及实验环境的搭建，提供配套软件满足本次招标要求。</w:t>
            </w:r>
          </w:p>
        </w:tc>
      </w:tr>
    </w:tbl>
    <w:p w14:paraId="0032C515">
      <w:pPr>
        <w:pStyle w:val="21"/>
        <w:spacing w:line="360" w:lineRule="auto"/>
        <w:ind w:firstLine="0" w:firstLineChars="0"/>
        <w:rPr>
          <w:rFonts w:hint="eastAsia" w:ascii="宋体" w:hAnsi="宋体" w:eastAsia="宋体" w:cs="宋体"/>
          <w:b/>
          <w:sz w:val="24"/>
          <w:szCs w:val="24"/>
        </w:rPr>
      </w:pPr>
    </w:p>
    <w:p w14:paraId="36BF5952">
      <w:pPr>
        <w:pStyle w:val="21"/>
        <w:spacing w:line="360" w:lineRule="auto"/>
        <w:ind w:firstLine="0" w:firstLineChars="0"/>
        <w:rPr>
          <w:rFonts w:hint="eastAsia" w:ascii="宋体" w:hAnsi="宋体" w:eastAsia="宋体" w:cs="宋体"/>
          <w:b/>
          <w:sz w:val="24"/>
          <w:szCs w:val="24"/>
        </w:rPr>
      </w:pPr>
      <w:r>
        <w:rPr>
          <w:rFonts w:hint="eastAsia" w:ascii="宋体" w:hAnsi="宋体" w:eastAsia="宋体" w:cs="宋体"/>
          <w:b/>
          <w:sz w:val="24"/>
          <w:szCs w:val="24"/>
        </w:rPr>
        <w:t>课程及售后服务要求</w:t>
      </w:r>
    </w:p>
    <w:p w14:paraId="65D27C73">
      <w:pPr>
        <w:pStyle w:val="21"/>
        <w:spacing w:line="360" w:lineRule="auto"/>
        <w:ind w:firstLine="480"/>
        <w:rPr>
          <w:rFonts w:hint="eastAsia" w:ascii="宋体" w:hAnsi="宋体" w:eastAsia="宋体" w:cs="宋体"/>
          <w:bCs/>
          <w:color w:val="auto"/>
          <w:sz w:val="24"/>
          <w:szCs w:val="24"/>
        </w:rPr>
      </w:pPr>
      <w:r>
        <w:rPr>
          <w:rFonts w:hint="eastAsia" w:ascii="宋体" w:hAnsi="宋体" w:eastAsia="宋体" w:cs="宋体"/>
          <w:bCs/>
          <w:color w:val="auto"/>
          <w:sz w:val="24"/>
          <w:szCs w:val="24"/>
        </w:rPr>
        <w:t>1.实训室课程数据通信核心技术教材要求，要求投标人为本次设备提供所投品牌官方教材，如教材PPT、实验环境搭建指南、实验手册，培训教材中课程至少包含如下内容：认识网络设备、IP路由基础、OSPF基础、OSPF路由计算、OSPF特殊区域及其他特性、IS-IS原理与配置、BGP基础、BGP路径属性与路由反射器；BGP路由优选、BGP EVPN基础、路由策略及路由控制、流量过滤和转发路径控制、园区典型技术应用概述、RSTP原理与配置、MSTP原理与配置、交换机堆叠与集群、IP组播基础、IGMP原理与配置、PIM原理与配置、IPV6概述、BFD原理与配置。</w:t>
      </w:r>
    </w:p>
    <w:p w14:paraId="56FD31F3">
      <w:pPr>
        <w:pStyle w:val="21"/>
        <w:spacing w:line="360" w:lineRule="auto"/>
        <w:ind w:firstLine="480"/>
        <w:rPr>
          <w:rFonts w:hint="eastAsia" w:ascii="宋体" w:hAnsi="宋体" w:eastAsia="宋体" w:cs="宋体"/>
          <w:bCs/>
          <w:color w:val="auto"/>
          <w:sz w:val="24"/>
          <w:szCs w:val="24"/>
        </w:rPr>
      </w:pPr>
      <w:r>
        <w:rPr>
          <w:rFonts w:hint="eastAsia" w:ascii="宋体" w:hAnsi="宋体" w:eastAsia="宋体" w:cs="宋体"/>
          <w:bCs/>
          <w:color w:val="auto"/>
          <w:sz w:val="24"/>
          <w:szCs w:val="24"/>
        </w:rPr>
        <w:t>2.实训室课程高级路由交换技术教材要求，要求投标人为本次设备提供所投品牌官方教材，如教材PPT、实验环境搭建指南、实验手册，培训教材中课程至少包含如下内容：IGP高级特性、BGP高级特性、IPv6路由、Vlan高级技术、网络安全技术、MPLS原理与配置、MPLS LDP原理与配置、 MPLS VPN原理与配置、MPLS VPN部署与应用、网络故障排查。</w:t>
      </w:r>
    </w:p>
    <w:p w14:paraId="4A721FE0">
      <w:pPr>
        <w:pStyle w:val="21"/>
        <w:spacing w:line="360" w:lineRule="auto"/>
        <w:ind w:firstLine="480"/>
        <w:rPr>
          <w:rFonts w:hint="eastAsia" w:ascii="宋体" w:hAnsi="宋体" w:eastAsia="宋体" w:cs="宋体"/>
          <w:color w:val="auto"/>
        </w:rPr>
      </w:pPr>
      <w:r>
        <w:rPr>
          <w:rFonts w:hint="eastAsia" w:ascii="宋体" w:hAnsi="宋体" w:eastAsia="宋体" w:cs="宋体"/>
          <w:bCs/>
          <w:color w:val="auto"/>
          <w:sz w:val="24"/>
          <w:szCs w:val="24"/>
        </w:rPr>
        <w:t>3.</w:t>
      </w:r>
      <w:r>
        <w:rPr>
          <w:rFonts w:hint="eastAsia" w:ascii="宋体" w:hAnsi="宋体" w:eastAsia="宋体" w:cs="宋体"/>
          <w:color w:val="auto"/>
        </w:rPr>
        <w:t xml:space="preserve"> </w:t>
      </w:r>
      <w:r>
        <w:rPr>
          <w:rFonts w:hint="eastAsia" w:ascii="宋体" w:hAnsi="宋体" w:eastAsia="宋体" w:cs="宋体"/>
          <w:bCs/>
          <w:color w:val="auto"/>
          <w:sz w:val="24"/>
          <w:szCs w:val="24"/>
        </w:rPr>
        <w:t>实训室课程无线网络技术教材要求，要求投标人为本次设备提供所投品牌官方教材，如教材PPT、实验环境搭建指南、实验手册，培训教材中课程至少包含如下内容：</w:t>
      </w:r>
      <w:r>
        <w:rPr>
          <w:rFonts w:hint="eastAsia" w:ascii="宋体" w:hAnsi="宋体" w:eastAsia="宋体" w:cs="宋体"/>
          <w:color w:val="auto"/>
          <w:sz w:val="24"/>
          <w:szCs w:val="24"/>
        </w:rPr>
        <w:t>基础WLAN构建</w:t>
      </w:r>
      <w:r>
        <w:rPr>
          <w:rFonts w:hint="eastAsia" w:ascii="宋体" w:hAnsi="宋体" w:eastAsia="宋体" w:cs="宋体"/>
          <w:bCs/>
          <w:color w:val="auto"/>
          <w:sz w:val="24"/>
          <w:szCs w:val="24"/>
        </w:rPr>
        <w:t>、</w:t>
      </w:r>
      <w:r>
        <w:rPr>
          <w:rFonts w:hint="eastAsia" w:ascii="宋体" w:hAnsi="宋体" w:eastAsia="宋体" w:cs="宋体"/>
          <w:color w:val="auto"/>
          <w:sz w:val="24"/>
          <w:szCs w:val="24"/>
        </w:rPr>
        <w:t>无线局域网与以太网互联</w:t>
      </w:r>
      <w:r>
        <w:rPr>
          <w:rFonts w:hint="eastAsia" w:ascii="宋体" w:hAnsi="宋体" w:eastAsia="宋体" w:cs="宋体"/>
          <w:bCs/>
          <w:color w:val="auto"/>
          <w:sz w:val="24"/>
          <w:szCs w:val="24"/>
        </w:rPr>
        <w:t>、</w:t>
      </w:r>
      <w:r>
        <w:rPr>
          <w:rFonts w:hint="eastAsia" w:ascii="宋体" w:hAnsi="宋体" w:eastAsia="宋体" w:cs="宋体"/>
          <w:color w:val="auto"/>
          <w:sz w:val="24"/>
          <w:szCs w:val="24"/>
        </w:rPr>
        <w:t>无线AP组网模式</w:t>
      </w:r>
      <w:r>
        <w:rPr>
          <w:rFonts w:hint="eastAsia" w:ascii="宋体" w:hAnsi="宋体" w:eastAsia="宋体" w:cs="宋体"/>
          <w:bCs/>
          <w:color w:val="auto"/>
          <w:sz w:val="24"/>
          <w:szCs w:val="24"/>
        </w:rPr>
        <w:t>、</w:t>
      </w:r>
      <w:r>
        <w:rPr>
          <w:rFonts w:hint="eastAsia" w:ascii="宋体" w:hAnsi="宋体" w:eastAsia="宋体" w:cs="宋体"/>
          <w:color w:val="auto"/>
          <w:sz w:val="24"/>
          <w:szCs w:val="24"/>
        </w:rPr>
        <w:t>无线漫游</w:t>
      </w:r>
      <w:r>
        <w:rPr>
          <w:rFonts w:hint="eastAsia" w:ascii="宋体" w:hAnsi="宋体" w:eastAsia="宋体" w:cs="宋体"/>
          <w:bCs/>
          <w:color w:val="auto"/>
          <w:sz w:val="24"/>
          <w:szCs w:val="24"/>
        </w:rPr>
        <w:t>、无线安全配置、无线网络故障排查。</w:t>
      </w:r>
    </w:p>
    <w:p w14:paraId="173DC419">
      <w:pPr>
        <w:pStyle w:val="21"/>
        <w:spacing w:line="360" w:lineRule="auto"/>
        <w:ind w:firstLine="480"/>
        <w:rPr>
          <w:rFonts w:hint="eastAsia" w:ascii="宋体" w:hAnsi="宋体" w:eastAsia="宋体" w:cs="宋体"/>
          <w:bCs/>
          <w:color w:val="auto"/>
          <w:sz w:val="24"/>
          <w:szCs w:val="24"/>
        </w:rPr>
      </w:pPr>
      <w:r>
        <w:rPr>
          <w:rFonts w:hint="eastAsia" w:ascii="宋体" w:hAnsi="宋体" w:eastAsia="宋体" w:cs="宋体"/>
          <w:bCs/>
          <w:color w:val="auto"/>
          <w:sz w:val="24"/>
          <w:szCs w:val="24"/>
        </w:rPr>
        <w:t>4.为检验实训室搭建及技术成果在搭建后可提供具备相关能力的技术人员，要求投标人为本次项目提供所投品牌在数据通信核心技术及数据通信高级路由交换技术的工程师考试卷，可免费进行相关考试检测培训成果。</w:t>
      </w:r>
    </w:p>
    <w:p w14:paraId="37989FE4">
      <w:pPr>
        <w:pStyle w:val="21"/>
        <w:spacing w:line="360" w:lineRule="auto"/>
        <w:ind w:firstLine="480"/>
        <w:rPr>
          <w:rFonts w:hint="eastAsia" w:ascii="宋体" w:hAnsi="宋体" w:eastAsia="宋体" w:cs="宋体"/>
          <w:bCs/>
          <w:color w:val="auto"/>
          <w:sz w:val="24"/>
          <w:szCs w:val="24"/>
        </w:rPr>
      </w:pPr>
      <w:r>
        <w:rPr>
          <w:rFonts w:hint="eastAsia" w:ascii="宋体" w:hAnsi="宋体" w:eastAsia="宋体" w:cs="宋体"/>
          <w:bCs/>
          <w:color w:val="auto"/>
          <w:sz w:val="24"/>
          <w:szCs w:val="24"/>
        </w:rPr>
        <w:t>5.为确保本次所购设备及教学质量的保证，要求投标人所投品牌可提供数据通信核心技术高级工程师在线训练营、数据通信高级路由交换技术在线训练营：通过在线学习平台或视频会议终端提供的讲师远程培训，提升大规模的普及性培训能力，培训安排以理论授课及demo演示为主，减少学员离岗培训对业务运行的影响，方便快捷。（提供承诺函，格式自拟）</w:t>
      </w:r>
    </w:p>
    <w:p w14:paraId="049D525A">
      <w:pPr>
        <w:spacing w:line="360" w:lineRule="auto"/>
        <w:ind w:firstLine="42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auto"/>
          <w:sz w:val="22"/>
          <w:szCs w:val="22"/>
        </w:rPr>
        <w:t>★</w:t>
      </w:r>
      <w:r>
        <w:rPr>
          <w:rFonts w:hint="eastAsia" w:ascii="宋体" w:hAnsi="宋体" w:eastAsia="宋体" w:cs="宋体"/>
          <w:bCs/>
          <w:color w:val="auto"/>
        </w:rPr>
        <w:t>6.本次所有软、硬件设备要求提供3年所投品牌设备原厂质保。</w:t>
      </w:r>
    </w:p>
    <w:p w14:paraId="67E148E9">
      <w:pPr>
        <w:numPr>
          <w:ilvl w:val="0"/>
          <w:numId w:val="2"/>
        </w:numPr>
        <w:spacing w:line="360" w:lineRule="auto"/>
        <w:ind w:firstLine="480"/>
        <w:rPr>
          <w:rFonts w:hint="eastAsia" w:ascii="宋体" w:hAnsi="宋体" w:eastAsia="宋体" w:cs="宋体"/>
          <w:b/>
          <w:bCs/>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评分方法</w:t>
      </w:r>
    </w:p>
    <w:p w14:paraId="48A3E8B8">
      <w:pPr>
        <w:numPr>
          <w:ilvl w:val="0"/>
          <w:numId w:val="0"/>
        </w:numPr>
        <w:spacing w:line="360" w:lineRule="auto"/>
        <w:rPr>
          <w:rFonts w:hint="eastAsia" w:ascii="宋体" w:hAnsi="宋体" w:eastAsia="宋体" w:cs="宋体"/>
          <w:b/>
          <w:bCs/>
          <w:sz w:val="24"/>
          <w:szCs w:val="24"/>
        </w:rPr>
      </w:pPr>
      <w:r>
        <w:rPr>
          <w:rFonts w:hint="eastAsia" w:ascii="宋体" w:hAnsi="宋体" w:eastAsia="宋体" w:cs="宋体"/>
          <w:b/>
          <w:bCs/>
          <w:sz w:val="24"/>
          <w:szCs w:val="24"/>
          <w:lang w:val="en-US" w:eastAsia="zh-CN"/>
        </w:rPr>
        <w:t>1.</w:t>
      </w:r>
      <w:r>
        <w:rPr>
          <w:rFonts w:hint="eastAsia" w:ascii="宋体" w:hAnsi="宋体" w:eastAsia="宋体" w:cs="宋体"/>
          <w:b/>
          <w:bCs/>
          <w:sz w:val="24"/>
          <w:szCs w:val="24"/>
        </w:rPr>
        <w:t>技术项满分为</w:t>
      </w:r>
      <w:r>
        <w:rPr>
          <w:rFonts w:hint="eastAsia" w:ascii="宋体" w:hAnsi="宋体" w:eastAsia="宋体" w:cs="宋体"/>
          <w:b/>
          <w:bCs/>
          <w:sz w:val="24"/>
          <w:szCs w:val="24"/>
          <w:u w:val="single"/>
        </w:rPr>
        <w:t>55</w:t>
      </w:r>
      <w:r>
        <w:rPr>
          <w:rFonts w:hint="eastAsia" w:ascii="宋体" w:hAnsi="宋体" w:eastAsia="宋体" w:cs="宋体"/>
          <w:b/>
          <w:bCs/>
          <w:sz w:val="24"/>
          <w:szCs w:val="24"/>
        </w:rPr>
        <w:t>分。</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779"/>
        <w:gridCol w:w="7140"/>
      </w:tblGrid>
      <w:tr w14:paraId="69877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5" w:type="pct"/>
            <w:tcBorders>
              <w:tl2br w:val="nil"/>
              <w:tr2bl w:val="nil"/>
            </w:tcBorders>
            <w:vAlign w:val="center"/>
          </w:tcPr>
          <w:p w14:paraId="5323AE76">
            <w:pPr>
              <w:rPr>
                <w:rFonts w:hint="eastAsia" w:ascii="宋体" w:hAnsi="宋体" w:eastAsia="宋体" w:cs="宋体"/>
                <w:color w:val="auto"/>
              </w:rPr>
            </w:pPr>
            <w:r>
              <w:rPr>
                <w:rFonts w:hint="eastAsia" w:ascii="宋体" w:hAnsi="宋体" w:eastAsia="宋体" w:cs="宋体"/>
                <w:color w:val="auto"/>
              </w:rPr>
              <w:t>评标项目</w:t>
            </w:r>
          </w:p>
        </w:tc>
        <w:tc>
          <w:tcPr>
            <w:tcW w:w="416" w:type="pct"/>
            <w:tcBorders>
              <w:tl2br w:val="nil"/>
              <w:tr2bl w:val="nil"/>
            </w:tcBorders>
            <w:vAlign w:val="center"/>
          </w:tcPr>
          <w:p w14:paraId="1AE8D9FC">
            <w:pPr>
              <w:rPr>
                <w:rFonts w:hint="eastAsia" w:ascii="宋体" w:hAnsi="宋体" w:eastAsia="宋体" w:cs="宋体"/>
                <w:color w:val="auto"/>
              </w:rPr>
            </w:pPr>
            <w:r>
              <w:rPr>
                <w:rFonts w:hint="eastAsia" w:ascii="宋体" w:hAnsi="宋体" w:eastAsia="宋体" w:cs="宋体"/>
                <w:color w:val="auto"/>
              </w:rPr>
              <w:t>评标分值</w:t>
            </w:r>
          </w:p>
        </w:tc>
        <w:tc>
          <w:tcPr>
            <w:tcW w:w="3817" w:type="pct"/>
            <w:tcBorders>
              <w:tl2br w:val="nil"/>
              <w:tr2bl w:val="nil"/>
            </w:tcBorders>
            <w:vAlign w:val="center"/>
          </w:tcPr>
          <w:p w14:paraId="71FF4859">
            <w:pPr>
              <w:rPr>
                <w:rFonts w:hint="eastAsia" w:ascii="宋体" w:hAnsi="宋体" w:eastAsia="宋体" w:cs="宋体"/>
                <w:color w:val="auto"/>
              </w:rPr>
            </w:pPr>
            <w:r>
              <w:rPr>
                <w:rFonts w:hint="eastAsia" w:ascii="宋体" w:hAnsi="宋体" w:eastAsia="宋体" w:cs="宋体"/>
                <w:color w:val="auto"/>
              </w:rPr>
              <w:t>评标方法描述</w:t>
            </w:r>
          </w:p>
        </w:tc>
      </w:tr>
      <w:tr w14:paraId="3C57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5" w:type="pct"/>
            <w:tcBorders>
              <w:tl2br w:val="nil"/>
              <w:tr2bl w:val="nil"/>
            </w:tcBorders>
            <w:vAlign w:val="center"/>
          </w:tcPr>
          <w:p w14:paraId="0D676705">
            <w:pPr>
              <w:rPr>
                <w:rFonts w:hint="eastAsia" w:ascii="宋体" w:hAnsi="宋体" w:eastAsia="宋体" w:cs="宋体"/>
                <w:color w:val="auto"/>
              </w:rPr>
            </w:pPr>
            <w:r>
              <w:rPr>
                <w:rFonts w:hint="eastAsia" w:ascii="宋体" w:hAnsi="宋体" w:eastAsia="宋体" w:cs="宋体"/>
                <w:color w:val="auto"/>
              </w:rPr>
              <w:t>路由器</w:t>
            </w:r>
            <w:r>
              <w:rPr>
                <w:rFonts w:hint="eastAsia" w:ascii="宋体" w:hAnsi="宋体" w:eastAsia="宋体" w:cs="宋体"/>
                <w:color w:val="auto"/>
                <w:spacing w:val="-2"/>
              </w:rPr>
              <w:t>硬件指标</w:t>
            </w:r>
          </w:p>
        </w:tc>
        <w:tc>
          <w:tcPr>
            <w:tcW w:w="416" w:type="pct"/>
            <w:tcBorders>
              <w:tl2br w:val="nil"/>
              <w:tr2bl w:val="nil"/>
            </w:tcBorders>
            <w:noWrap/>
            <w:vAlign w:val="center"/>
          </w:tcPr>
          <w:p w14:paraId="52E7EDA7">
            <w:pPr>
              <w:rPr>
                <w:rFonts w:hint="eastAsia" w:ascii="宋体" w:hAnsi="宋体" w:eastAsia="宋体" w:cs="宋体"/>
                <w:color w:val="auto"/>
              </w:rPr>
            </w:pPr>
            <w:r>
              <w:rPr>
                <w:rFonts w:hint="eastAsia" w:ascii="宋体" w:hAnsi="宋体" w:eastAsia="宋体" w:cs="宋体"/>
                <w:color w:val="auto"/>
              </w:rPr>
              <w:t>2</w:t>
            </w:r>
          </w:p>
        </w:tc>
        <w:tc>
          <w:tcPr>
            <w:tcW w:w="3817" w:type="pct"/>
            <w:tcBorders>
              <w:tl2br w:val="nil"/>
              <w:tr2bl w:val="nil"/>
            </w:tcBorders>
            <w:vAlign w:val="center"/>
          </w:tcPr>
          <w:p w14:paraId="2694FA68">
            <w:pPr>
              <w:rPr>
                <w:rFonts w:hint="eastAsia" w:ascii="宋体" w:hAnsi="宋体" w:eastAsia="宋体" w:cs="宋体"/>
                <w:color w:val="auto"/>
              </w:rPr>
            </w:pPr>
            <w:r>
              <w:rPr>
                <w:rFonts w:hint="eastAsia" w:ascii="宋体" w:hAnsi="宋体" w:eastAsia="宋体" w:cs="宋体"/>
                <w:color w:val="auto"/>
              </w:rPr>
              <w:t>评价投标人所投路由器▲符合度情况，要求投标人提供官网截图或产品彩页或产品说明页等进行证明，每满足1项得2分，全部满足得2分。</w:t>
            </w:r>
          </w:p>
        </w:tc>
      </w:tr>
      <w:tr w14:paraId="79A9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5" w:type="pct"/>
            <w:tcBorders>
              <w:tl2br w:val="nil"/>
              <w:tr2bl w:val="nil"/>
            </w:tcBorders>
            <w:noWrap/>
            <w:vAlign w:val="center"/>
          </w:tcPr>
          <w:p w14:paraId="7A4C64A1">
            <w:pPr>
              <w:rPr>
                <w:rFonts w:hint="eastAsia" w:ascii="宋体" w:hAnsi="宋体" w:eastAsia="宋体" w:cs="宋体"/>
                <w:color w:val="auto"/>
              </w:rPr>
            </w:pPr>
            <w:r>
              <w:rPr>
                <w:rFonts w:hint="eastAsia" w:ascii="宋体" w:hAnsi="宋体" w:eastAsia="宋体" w:cs="宋体"/>
                <w:color w:val="auto"/>
              </w:rPr>
              <w:t>交换机</w:t>
            </w:r>
            <w:r>
              <w:rPr>
                <w:rFonts w:hint="eastAsia" w:ascii="宋体" w:hAnsi="宋体" w:eastAsia="宋体" w:cs="宋体"/>
                <w:color w:val="auto"/>
                <w:spacing w:val="-2"/>
              </w:rPr>
              <w:t>硬件指标</w:t>
            </w:r>
          </w:p>
        </w:tc>
        <w:tc>
          <w:tcPr>
            <w:tcW w:w="416" w:type="pct"/>
            <w:tcBorders>
              <w:tl2br w:val="nil"/>
              <w:tr2bl w:val="nil"/>
            </w:tcBorders>
            <w:noWrap/>
            <w:vAlign w:val="center"/>
          </w:tcPr>
          <w:p w14:paraId="5FBD6D92">
            <w:pPr>
              <w:rPr>
                <w:rFonts w:hint="eastAsia" w:ascii="宋体" w:hAnsi="宋体" w:eastAsia="宋体" w:cs="宋体"/>
                <w:color w:val="auto"/>
              </w:rPr>
            </w:pPr>
            <w:r>
              <w:rPr>
                <w:rFonts w:hint="eastAsia" w:ascii="宋体" w:hAnsi="宋体" w:eastAsia="宋体" w:cs="宋体"/>
                <w:color w:val="auto"/>
              </w:rPr>
              <w:t>6</w:t>
            </w:r>
          </w:p>
        </w:tc>
        <w:tc>
          <w:tcPr>
            <w:tcW w:w="3817" w:type="pct"/>
            <w:tcBorders>
              <w:tl2br w:val="nil"/>
              <w:tr2bl w:val="nil"/>
            </w:tcBorders>
            <w:vAlign w:val="center"/>
          </w:tcPr>
          <w:p w14:paraId="01216843">
            <w:pPr>
              <w:rPr>
                <w:rFonts w:hint="eastAsia" w:ascii="宋体" w:hAnsi="宋体" w:eastAsia="宋体" w:cs="宋体"/>
                <w:color w:val="auto"/>
              </w:rPr>
            </w:pPr>
            <w:r>
              <w:rPr>
                <w:rFonts w:hint="eastAsia" w:ascii="宋体" w:hAnsi="宋体" w:eastAsia="宋体" w:cs="宋体"/>
                <w:color w:val="auto"/>
              </w:rPr>
              <w:t>评价投标人所投24口交换机▲符合度情况，要求投标人提供官网截图或产品彩页或产品说明页等进行证明，每满足1项得2分，全部满足得6分。</w:t>
            </w:r>
          </w:p>
        </w:tc>
      </w:tr>
      <w:tr w14:paraId="3809E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5" w:type="pct"/>
            <w:tcBorders>
              <w:tl2br w:val="nil"/>
              <w:tr2bl w:val="nil"/>
            </w:tcBorders>
            <w:noWrap/>
            <w:vAlign w:val="center"/>
          </w:tcPr>
          <w:p w14:paraId="789C07CB">
            <w:pPr>
              <w:rPr>
                <w:rFonts w:hint="eastAsia" w:ascii="宋体" w:hAnsi="宋体" w:eastAsia="宋体" w:cs="宋体"/>
                <w:color w:val="auto"/>
              </w:rPr>
            </w:pPr>
            <w:r>
              <w:rPr>
                <w:rFonts w:hint="eastAsia" w:ascii="宋体" w:hAnsi="宋体" w:eastAsia="宋体" w:cs="宋体"/>
                <w:color w:val="auto"/>
              </w:rPr>
              <w:t>24口POE交换机</w:t>
            </w:r>
            <w:r>
              <w:rPr>
                <w:rFonts w:hint="eastAsia" w:ascii="宋体" w:hAnsi="宋体" w:eastAsia="宋体" w:cs="宋体"/>
                <w:color w:val="auto"/>
                <w:spacing w:val="-2"/>
              </w:rPr>
              <w:t>硬件指标</w:t>
            </w:r>
          </w:p>
        </w:tc>
        <w:tc>
          <w:tcPr>
            <w:tcW w:w="416" w:type="pct"/>
            <w:tcBorders>
              <w:tl2br w:val="nil"/>
              <w:tr2bl w:val="nil"/>
            </w:tcBorders>
            <w:noWrap/>
            <w:vAlign w:val="center"/>
          </w:tcPr>
          <w:p w14:paraId="14E3E9C4">
            <w:pPr>
              <w:rPr>
                <w:rFonts w:hint="eastAsia" w:ascii="宋体" w:hAnsi="宋体" w:eastAsia="宋体" w:cs="宋体"/>
                <w:color w:val="auto"/>
              </w:rPr>
            </w:pPr>
            <w:r>
              <w:rPr>
                <w:rFonts w:hint="eastAsia" w:ascii="宋体" w:hAnsi="宋体" w:eastAsia="宋体" w:cs="宋体"/>
                <w:color w:val="auto"/>
              </w:rPr>
              <w:t>6</w:t>
            </w:r>
          </w:p>
        </w:tc>
        <w:tc>
          <w:tcPr>
            <w:tcW w:w="3817" w:type="pct"/>
            <w:tcBorders>
              <w:tl2br w:val="nil"/>
              <w:tr2bl w:val="nil"/>
            </w:tcBorders>
            <w:vAlign w:val="center"/>
          </w:tcPr>
          <w:p w14:paraId="068BB0CA">
            <w:pPr>
              <w:rPr>
                <w:rFonts w:hint="eastAsia" w:ascii="宋体" w:hAnsi="宋体" w:eastAsia="宋体" w:cs="宋体"/>
                <w:color w:val="auto"/>
              </w:rPr>
            </w:pPr>
            <w:r>
              <w:rPr>
                <w:rFonts w:hint="eastAsia" w:ascii="宋体" w:hAnsi="宋体" w:eastAsia="宋体" w:cs="宋体"/>
                <w:color w:val="auto"/>
              </w:rPr>
              <w:t>评价投标人所投24口交换机▲符合度情况，要求投标人提供官网截图或产品彩页或产品说明页等进行证明，每满足1项得2分，全部满足得6分。</w:t>
            </w:r>
          </w:p>
        </w:tc>
      </w:tr>
      <w:tr w14:paraId="091CB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5" w:type="pct"/>
            <w:tcBorders>
              <w:tl2br w:val="nil"/>
              <w:tr2bl w:val="nil"/>
            </w:tcBorders>
            <w:noWrap/>
            <w:vAlign w:val="center"/>
          </w:tcPr>
          <w:p w14:paraId="6FA72C8C">
            <w:pPr>
              <w:rPr>
                <w:rFonts w:hint="eastAsia" w:ascii="宋体" w:hAnsi="宋体" w:eastAsia="宋体" w:cs="宋体"/>
                <w:color w:val="auto"/>
              </w:rPr>
            </w:pPr>
            <w:r>
              <w:rPr>
                <w:rFonts w:hint="eastAsia" w:ascii="宋体" w:hAnsi="宋体" w:eastAsia="宋体" w:cs="宋体"/>
                <w:color w:val="auto"/>
              </w:rPr>
              <w:t>防火墙</w:t>
            </w:r>
            <w:r>
              <w:rPr>
                <w:rFonts w:hint="eastAsia" w:ascii="宋体" w:hAnsi="宋体" w:eastAsia="宋体" w:cs="宋体"/>
                <w:color w:val="auto"/>
                <w:spacing w:val="-2"/>
              </w:rPr>
              <w:t>硬件指标</w:t>
            </w:r>
          </w:p>
        </w:tc>
        <w:tc>
          <w:tcPr>
            <w:tcW w:w="416" w:type="pct"/>
            <w:tcBorders>
              <w:tl2br w:val="nil"/>
              <w:tr2bl w:val="nil"/>
            </w:tcBorders>
            <w:noWrap/>
            <w:vAlign w:val="center"/>
          </w:tcPr>
          <w:p w14:paraId="7B64EF57">
            <w:pPr>
              <w:rPr>
                <w:rFonts w:hint="eastAsia" w:ascii="宋体" w:hAnsi="宋体" w:eastAsia="宋体" w:cs="宋体"/>
                <w:color w:val="auto"/>
              </w:rPr>
            </w:pPr>
            <w:r>
              <w:rPr>
                <w:rFonts w:hint="eastAsia" w:ascii="宋体" w:hAnsi="宋体" w:eastAsia="宋体" w:cs="宋体"/>
                <w:color w:val="auto"/>
              </w:rPr>
              <w:t>6</w:t>
            </w:r>
          </w:p>
        </w:tc>
        <w:tc>
          <w:tcPr>
            <w:tcW w:w="3817" w:type="pct"/>
            <w:tcBorders>
              <w:tl2br w:val="nil"/>
              <w:tr2bl w:val="nil"/>
            </w:tcBorders>
            <w:vAlign w:val="center"/>
          </w:tcPr>
          <w:p w14:paraId="6A3EDFCD">
            <w:pPr>
              <w:rPr>
                <w:rFonts w:hint="eastAsia" w:ascii="宋体" w:hAnsi="宋体" w:eastAsia="宋体" w:cs="宋体"/>
                <w:color w:val="auto"/>
              </w:rPr>
            </w:pPr>
            <w:r>
              <w:rPr>
                <w:rFonts w:hint="eastAsia" w:ascii="宋体" w:hAnsi="宋体" w:eastAsia="宋体" w:cs="宋体"/>
                <w:color w:val="auto"/>
              </w:rPr>
              <w:t>评价投标人所投防火墙▲符合度情况，要求投标人提供官网截图或产品彩页或产品说明页等进行证明，每满足1项得2分，全部满足得6分。</w:t>
            </w:r>
          </w:p>
        </w:tc>
      </w:tr>
      <w:tr w14:paraId="5E03B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65" w:type="pct"/>
            <w:tcBorders>
              <w:tl2br w:val="nil"/>
              <w:tr2bl w:val="nil"/>
            </w:tcBorders>
            <w:noWrap/>
            <w:vAlign w:val="center"/>
          </w:tcPr>
          <w:p w14:paraId="2EA929E6">
            <w:pPr>
              <w:rPr>
                <w:rFonts w:hint="eastAsia" w:ascii="宋体" w:hAnsi="宋体" w:eastAsia="宋体" w:cs="宋体"/>
                <w:color w:val="auto"/>
              </w:rPr>
            </w:pPr>
            <w:r>
              <w:rPr>
                <w:rFonts w:hint="eastAsia" w:ascii="宋体" w:hAnsi="宋体" w:eastAsia="宋体" w:cs="宋体"/>
                <w:color w:val="auto"/>
              </w:rPr>
              <w:t>无线AP</w:t>
            </w:r>
            <w:r>
              <w:rPr>
                <w:rFonts w:hint="eastAsia" w:ascii="宋体" w:hAnsi="宋体" w:eastAsia="宋体" w:cs="宋体"/>
                <w:color w:val="auto"/>
                <w:spacing w:val="-2"/>
              </w:rPr>
              <w:t>硬件指标</w:t>
            </w:r>
          </w:p>
        </w:tc>
        <w:tc>
          <w:tcPr>
            <w:tcW w:w="416" w:type="pct"/>
            <w:tcBorders>
              <w:tl2br w:val="nil"/>
              <w:tr2bl w:val="nil"/>
            </w:tcBorders>
            <w:noWrap/>
            <w:vAlign w:val="center"/>
          </w:tcPr>
          <w:p w14:paraId="2AB935A5">
            <w:pPr>
              <w:rPr>
                <w:rFonts w:hint="eastAsia" w:ascii="宋体" w:hAnsi="宋体" w:eastAsia="宋体" w:cs="宋体"/>
                <w:color w:val="auto"/>
              </w:rPr>
            </w:pPr>
            <w:r>
              <w:rPr>
                <w:rFonts w:hint="eastAsia" w:ascii="宋体" w:hAnsi="宋体" w:eastAsia="宋体" w:cs="宋体"/>
                <w:color w:val="auto"/>
              </w:rPr>
              <w:t>4</w:t>
            </w:r>
          </w:p>
        </w:tc>
        <w:tc>
          <w:tcPr>
            <w:tcW w:w="3817" w:type="pct"/>
            <w:tcBorders>
              <w:tl2br w:val="nil"/>
              <w:tr2bl w:val="nil"/>
            </w:tcBorders>
            <w:noWrap/>
            <w:vAlign w:val="center"/>
          </w:tcPr>
          <w:p w14:paraId="1E4BD3A9">
            <w:pPr>
              <w:rPr>
                <w:rFonts w:hint="eastAsia" w:ascii="宋体" w:hAnsi="宋体" w:eastAsia="宋体" w:cs="宋体"/>
                <w:color w:val="auto"/>
              </w:rPr>
            </w:pPr>
            <w:r>
              <w:rPr>
                <w:rFonts w:hint="eastAsia" w:ascii="宋体" w:hAnsi="宋体" w:eastAsia="宋体" w:cs="宋体"/>
                <w:color w:val="auto"/>
              </w:rPr>
              <w:t>评价投标人所投无线AP▲符合度情况，要求投标人提供官网截图或产品彩页或产品说明页等进行证明，每满足1项得2分，全部满足得4分。</w:t>
            </w:r>
          </w:p>
        </w:tc>
      </w:tr>
      <w:tr w14:paraId="43C4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65" w:type="pct"/>
            <w:tcBorders>
              <w:tl2br w:val="nil"/>
              <w:tr2bl w:val="nil"/>
            </w:tcBorders>
            <w:noWrap/>
            <w:vAlign w:val="center"/>
          </w:tcPr>
          <w:p w14:paraId="4E8E118B">
            <w:pPr>
              <w:rPr>
                <w:rFonts w:hint="eastAsia" w:ascii="宋体" w:hAnsi="宋体" w:eastAsia="宋体" w:cs="宋体"/>
                <w:color w:val="auto"/>
              </w:rPr>
            </w:pPr>
            <w:r>
              <w:rPr>
                <w:rFonts w:hint="eastAsia" w:ascii="宋体" w:hAnsi="宋体" w:eastAsia="宋体" w:cs="宋体"/>
                <w:color w:val="auto"/>
              </w:rPr>
              <w:t>无线控制器</w:t>
            </w:r>
            <w:r>
              <w:rPr>
                <w:rFonts w:hint="eastAsia" w:ascii="宋体" w:hAnsi="宋体" w:eastAsia="宋体" w:cs="宋体"/>
                <w:color w:val="auto"/>
                <w:spacing w:val="-2"/>
              </w:rPr>
              <w:t>硬件指标</w:t>
            </w:r>
          </w:p>
        </w:tc>
        <w:tc>
          <w:tcPr>
            <w:tcW w:w="416" w:type="pct"/>
            <w:tcBorders>
              <w:tl2br w:val="nil"/>
              <w:tr2bl w:val="nil"/>
            </w:tcBorders>
            <w:noWrap/>
            <w:vAlign w:val="center"/>
          </w:tcPr>
          <w:p w14:paraId="3B43F077">
            <w:pPr>
              <w:rPr>
                <w:rFonts w:hint="eastAsia" w:ascii="宋体" w:hAnsi="宋体" w:eastAsia="宋体" w:cs="宋体"/>
                <w:color w:val="auto"/>
              </w:rPr>
            </w:pPr>
            <w:r>
              <w:rPr>
                <w:rFonts w:hint="eastAsia" w:ascii="宋体" w:hAnsi="宋体" w:eastAsia="宋体" w:cs="宋体"/>
                <w:color w:val="auto"/>
              </w:rPr>
              <w:t>6</w:t>
            </w:r>
          </w:p>
        </w:tc>
        <w:tc>
          <w:tcPr>
            <w:tcW w:w="3817" w:type="pct"/>
            <w:tcBorders>
              <w:tl2br w:val="nil"/>
              <w:tr2bl w:val="nil"/>
            </w:tcBorders>
            <w:noWrap/>
            <w:vAlign w:val="center"/>
          </w:tcPr>
          <w:p w14:paraId="386CDF72">
            <w:pPr>
              <w:rPr>
                <w:rFonts w:hint="eastAsia" w:ascii="宋体" w:hAnsi="宋体" w:eastAsia="宋体" w:cs="宋体"/>
                <w:color w:val="auto"/>
              </w:rPr>
            </w:pPr>
            <w:r>
              <w:rPr>
                <w:rFonts w:hint="eastAsia" w:ascii="宋体" w:hAnsi="宋体" w:eastAsia="宋体" w:cs="宋体"/>
                <w:color w:val="auto"/>
              </w:rPr>
              <w:t>评价投标人所投无线控制器▲符合度情况，要求投标人提供官网截图或产品彩页或产品说明页等进行证明，每满足1项得2分，全部满足得6分。</w:t>
            </w:r>
          </w:p>
        </w:tc>
      </w:tr>
      <w:tr w14:paraId="2835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65" w:type="pct"/>
            <w:tcBorders>
              <w:tl2br w:val="nil"/>
              <w:tr2bl w:val="nil"/>
            </w:tcBorders>
            <w:noWrap/>
            <w:vAlign w:val="center"/>
          </w:tcPr>
          <w:p w14:paraId="73CE0D75">
            <w:pPr>
              <w:rPr>
                <w:rFonts w:hint="eastAsia" w:ascii="宋体" w:hAnsi="宋体" w:eastAsia="宋体" w:cs="宋体"/>
                <w:color w:val="auto"/>
              </w:rPr>
            </w:pPr>
            <w:r>
              <w:rPr>
                <w:rFonts w:hint="eastAsia" w:ascii="宋体" w:hAnsi="宋体" w:eastAsia="宋体" w:cs="宋体"/>
                <w:color w:val="auto"/>
              </w:rPr>
              <w:t>服务器</w:t>
            </w:r>
          </w:p>
        </w:tc>
        <w:tc>
          <w:tcPr>
            <w:tcW w:w="416" w:type="pct"/>
            <w:tcBorders>
              <w:tl2br w:val="nil"/>
              <w:tr2bl w:val="nil"/>
            </w:tcBorders>
            <w:noWrap/>
            <w:vAlign w:val="center"/>
          </w:tcPr>
          <w:p w14:paraId="42E737F7">
            <w:pPr>
              <w:rPr>
                <w:rFonts w:hint="eastAsia" w:ascii="宋体" w:hAnsi="宋体" w:eastAsia="宋体" w:cs="宋体"/>
                <w:color w:val="auto"/>
              </w:rPr>
            </w:pPr>
            <w:r>
              <w:rPr>
                <w:rFonts w:hint="eastAsia" w:ascii="宋体" w:hAnsi="宋体" w:eastAsia="宋体" w:cs="宋体"/>
                <w:color w:val="auto"/>
              </w:rPr>
              <w:t>4</w:t>
            </w:r>
          </w:p>
        </w:tc>
        <w:tc>
          <w:tcPr>
            <w:tcW w:w="3817" w:type="pct"/>
            <w:tcBorders>
              <w:tl2br w:val="nil"/>
              <w:tr2bl w:val="nil"/>
            </w:tcBorders>
            <w:noWrap/>
            <w:vAlign w:val="center"/>
          </w:tcPr>
          <w:p w14:paraId="3B5ADF50">
            <w:pPr>
              <w:rPr>
                <w:rFonts w:hint="eastAsia" w:ascii="宋体" w:hAnsi="宋体" w:eastAsia="宋体" w:cs="宋体"/>
                <w:color w:val="auto"/>
              </w:rPr>
            </w:pPr>
            <w:r>
              <w:rPr>
                <w:rFonts w:hint="eastAsia" w:ascii="宋体" w:hAnsi="宋体" w:eastAsia="宋体" w:cs="宋体"/>
                <w:color w:val="auto"/>
              </w:rPr>
              <w:t>评价投标人所投服务器▲符合度情况，要求投标人提供官网截图或产品彩页或产品说明页等进行证明，每满足1项得2分，全部满足得4分。</w:t>
            </w:r>
          </w:p>
        </w:tc>
      </w:tr>
      <w:tr w14:paraId="40B13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65" w:type="pct"/>
            <w:tcBorders>
              <w:tl2br w:val="nil"/>
              <w:tr2bl w:val="nil"/>
            </w:tcBorders>
            <w:vAlign w:val="center"/>
          </w:tcPr>
          <w:p w14:paraId="35BB9BAB">
            <w:pPr>
              <w:rPr>
                <w:rFonts w:hint="eastAsia" w:ascii="宋体" w:hAnsi="宋体" w:eastAsia="宋体" w:cs="宋体"/>
                <w:color w:val="auto"/>
              </w:rPr>
            </w:pPr>
            <w:r>
              <w:rPr>
                <w:rFonts w:hint="eastAsia" w:ascii="宋体" w:hAnsi="宋体" w:eastAsia="宋体" w:cs="宋体"/>
                <w:color w:val="auto"/>
              </w:rPr>
              <w:t>网络设备控制器</w:t>
            </w:r>
          </w:p>
        </w:tc>
        <w:tc>
          <w:tcPr>
            <w:tcW w:w="416" w:type="pct"/>
            <w:tcBorders>
              <w:tl2br w:val="nil"/>
              <w:tr2bl w:val="nil"/>
            </w:tcBorders>
            <w:vAlign w:val="center"/>
          </w:tcPr>
          <w:p w14:paraId="794FB8B3">
            <w:pPr>
              <w:rPr>
                <w:rFonts w:hint="eastAsia" w:ascii="宋体" w:hAnsi="宋体" w:eastAsia="宋体" w:cs="宋体"/>
                <w:color w:val="auto"/>
              </w:rPr>
            </w:pPr>
            <w:r>
              <w:rPr>
                <w:rFonts w:hint="eastAsia" w:ascii="宋体" w:hAnsi="宋体" w:eastAsia="宋体" w:cs="宋体"/>
                <w:color w:val="auto"/>
              </w:rPr>
              <w:t>4</w:t>
            </w:r>
          </w:p>
        </w:tc>
        <w:tc>
          <w:tcPr>
            <w:tcW w:w="3817" w:type="pct"/>
            <w:tcBorders>
              <w:tl2br w:val="nil"/>
              <w:tr2bl w:val="nil"/>
            </w:tcBorders>
            <w:vAlign w:val="center"/>
          </w:tcPr>
          <w:p w14:paraId="026D931B">
            <w:pPr>
              <w:rPr>
                <w:rFonts w:hint="eastAsia" w:ascii="宋体" w:hAnsi="宋体" w:eastAsia="宋体" w:cs="宋体"/>
                <w:color w:val="auto"/>
              </w:rPr>
            </w:pPr>
            <w:r>
              <w:rPr>
                <w:rFonts w:hint="eastAsia" w:ascii="宋体" w:hAnsi="宋体" w:eastAsia="宋体" w:cs="宋体"/>
                <w:color w:val="auto"/>
              </w:rPr>
              <w:t>评价投标人所投带外管理交换机▲符合度情况，要求投标人提供官网截图或产品彩页或产品说明页等进行证明，每满足1项得2分，全部满足得4分。</w:t>
            </w:r>
          </w:p>
        </w:tc>
      </w:tr>
      <w:tr w14:paraId="53B6F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765" w:type="pct"/>
            <w:tcBorders>
              <w:tl2br w:val="nil"/>
              <w:tr2bl w:val="nil"/>
            </w:tcBorders>
            <w:noWrap/>
            <w:vAlign w:val="center"/>
          </w:tcPr>
          <w:p w14:paraId="68D13C46">
            <w:pPr>
              <w:rPr>
                <w:rFonts w:hint="eastAsia" w:ascii="宋体" w:hAnsi="宋体" w:eastAsia="宋体" w:cs="宋体"/>
                <w:color w:val="auto"/>
              </w:rPr>
            </w:pPr>
            <w:r>
              <w:rPr>
                <w:rFonts w:hint="eastAsia" w:ascii="宋体" w:hAnsi="宋体" w:eastAsia="宋体" w:cs="宋体"/>
                <w:color w:val="auto"/>
              </w:rPr>
              <w:t>系统集成与相关配套技术符合度评价</w:t>
            </w:r>
          </w:p>
        </w:tc>
        <w:tc>
          <w:tcPr>
            <w:tcW w:w="416" w:type="pct"/>
            <w:tcBorders>
              <w:tl2br w:val="nil"/>
              <w:tr2bl w:val="nil"/>
            </w:tcBorders>
            <w:noWrap/>
            <w:vAlign w:val="center"/>
          </w:tcPr>
          <w:p w14:paraId="3E024B5B">
            <w:pPr>
              <w:rPr>
                <w:rFonts w:hint="eastAsia" w:ascii="宋体" w:hAnsi="宋体" w:eastAsia="宋体" w:cs="宋体"/>
                <w:color w:val="auto"/>
              </w:rPr>
            </w:pPr>
            <w:r>
              <w:rPr>
                <w:rFonts w:hint="eastAsia" w:ascii="宋体" w:hAnsi="宋体" w:eastAsia="宋体" w:cs="宋体"/>
                <w:color w:val="auto"/>
              </w:rPr>
              <w:t>10</w:t>
            </w:r>
          </w:p>
        </w:tc>
        <w:tc>
          <w:tcPr>
            <w:tcW w:w="3817" w:type="pct"/>
            <w:tcBorders>
              <w:tl2br w:val="nil"/>
              <w:tr2bl w:val="nil"/>
            </w:tcBorders>
            <w:noWrap/>
            <w:vAlign w:val="center"/>
          </w:tcPr>
          <w:p w14:paraId="7911BA8C">
            <w:pPr>
              <w:rPr>
                <w:rFonts w:hint="eastAsia" w:ascii="宋体" w:hAnsi="宋体" w:eastAsia="宋体" w:cs="宋体"/>
                <w:color w:val="auto"/>
              </w:rPr>
            </w:pPr>
            <w:r>
              <w:rPr>
                <w:rFonts w:hint="eastAsia" w:ascii="宋体" w:hAnsi="宋体" w:eastAsia="宋体" w:cs="宋体"/>
                <w:color w:val="auto"/>
              </w:rPr>
              <w:t>设备上架、调试及实验环境搭建：</w:t>
            </w:r>
          </w:p>
          <w:p w14:paraId="382E7A8E">
            <w:pPr>
              <w:rPr>
                <w:rFonts w:hint="eastAsia" w:ascii="宋体" w:hAnsi="宋体" w:eastAsia="宋体" w:cs="宋体"/>
                <w:color w:val="auto"/>
              </w:rPr>
            </w:pPr>
            <w:r>
              <w:rPr>
                <w:rFonts w:hint="eastAsia" w:ascii="宋体" w:hAnsi="宋体" w:eastAsia="宋体" w:cs="宋体"/>
                <w:color w:val="auto"/>
              </w:rPr>
              <w:t>投标人需提供详细的系统集成实施方案，内容包含但不限于：①设备上架规划与布局（2分）、②加电测试与调试流程（2分）、③实验环境网络拓扑与搭建步骤（1分）、④实施团队人员配置（1分）。</w:t>
            </w:r>
          </w:p>
          <w:p w14:paraId="6A20706D">
            <w:pPr>
              <w:rPr>
                <w:rFonts w:hint="eastAsia" w:ascii="宋体" w:hAnsi="宋体" w:eastAsia="宋体" w:cs="宋体"/>
                <w:color w:val="auto"/>
              </w:rPr>
            </w:pPr>
            <w:r>
              <w:rPr>
                <w:rFonts w:hint="eastAsia" w:ascii="宋体" w:hAnsi="宋体" w:eastAsia="宋体" w:cs="宋体"/>
                <w:color w:val="auto"/>
              </w:rPr>
              <w:t>方案包含以上全部4项内容且无缺陷的，得满分6分；</w:t>
            </w:r>
          </w:p>
          <w:p w14:paraId="7985F370">
            <w:pPr>
              <w:rPr>
                <w:rFonts w:hint="eastAsia" w:ascii="宋体" w:hAnsi="宋体" w:eastAsia="宋体" w:cs="宋体"/>
                <w:color w:val="auto"/>
              </w:rPr>
            </w:pPr>
            <w:r>
              <w:rPr>
                <w:rFonts w:hint="eastAsia" w:ascii="宋体" w:hAnsi="宋体" w:eastAsia="宋体" w:cs="宋体"/>
                <w:color w:val="auto"/>
              </w:rPr>
              <w:t>每缺少一项内容扣相应项分值；</w:t>
            </w:r>
          </w:p>
          <w:p w14:paraId="22D91AD5">
            <w:pPr>
              <w:rPr>
                <w:rFonts w:hint="eastAsia" w:ascii="宋体" w:hAnsi="宋体" w:eastAsia="宋体" w:cs="宋体"/>
                <w:color w:val="auto"/>
              </w:rPr>
            </w:pPr>
            <w:r>
              <w:rPr>
                <w:rFonts w:hint="eastAsia" w:ascii="宋体" w:hAnsi="宋体" w:eastAsia="宋体" w:cs="宋体"/>
                <w:color w:val="auto"/>
              </w:rPr>
              <w:t>每项内容存在缺陷或与本项目无关的，扣0.5分；</w:t>
            </w:r>
          </w:p>
          <w:p w14:paraId="7DE71CB1">
            <w:pPr>
              <w:rPr>
                <w:rFonts w:hint="eastAsia" w:ascii="宋体" w:hAnsi="宋体" w:eastAsia="宋体" w:cs="宋体"/>
                <w:color w:val="auto"/>
              </w:rPr>
            </w:pPr>
            <w:r>
              <w:rPr>
                <w:rFonts w:hint="eastAsia" w:ascii="宋体" w:hAnsi="宋体" w:eastAsia="宋体" w:cs="宋体"/>
                <w:color w:val="auto"/>
              </w:rPr>
              <w:t>未提供或完全不满足的得0分。</w:t>
            </w:r>
          </w:p>
          <w:p w14:paraId="26449ECD">
            <w:pPr>
              <w:rPr>
                <w:rFonts w:hint="eastAsia" w:ascii="宋体" w:hAnsi="宋体" w:eastAsia="宋体" w:cs="宋体"/>
                <w:color w:val="auto"/>
              </w:rPr>
            </w:pPr>
          </w:p>
          <w:p w14:paraId="318CD28D">
            <w:pPr>
              <w:rPr>
                <w:rFonts w:hint="eastAsia" w:ascii="宋体" w:hAnsi="宋体" w:eastAsia="宋体" w:cs="宋体"/>
                <w:color w:val="auto"/>
              </w:rPr>
            </w:pPr>
            <w:r>
              <w:rPr>
                <w:rFonts w:hint="eastAsia" w:ascii="宋体" w:hAnsi="宋体" w:eastAsia="宋体" w:cs="宋体"/>
                <w:color w:val="auto"/>
              </w:rPr>
              <w:t>配套软件满足招标要求（4分）</w:t>
            </w:r>
          </w:p>
          <w:p w14:paraId="027627EB">
            <w:pPr>
              <w:rPr>
                <w:rFonts w:hint="eastAsia" w:ascii="宋体" w:hAnsi="宋体" w:eastAsia="宋体" w:cs="宋体"/>
                <w:color w:val="auto"/>
              </w:rPr>
            </w:pPr>
            <w:r>
              <w:rPr>
                <w:rFonts w:hint="eastAsia" w:ascii="宋体" w:hAnsi="宋体" w:eastAsia="宋体" w:cs="宋体"/>
                <w:color w:val="auto"/>
              </w:rPr>
              <w:t>完全响应（满分）：投标人承诺提供的配套软件完全满足本次招标要求的各项功能、性能及授权数量要求，且提供了软件功能清单或技术参数偏离表进行佐证，得4分；</w:t>
            </w:r>
          </w:p>
          <w:p w14:paraId="09E61ACC">
            <w:pPr>
              <w:rPr>
                <w:rFonts w:hint="eastAsia" w:ascii="宋体" w:hAnsi="宋体" w:eastAsia="宋体" w:cs="宋体"/>
                <w:color w:val="auto"/>
              </w:rPr>
            </w:pPr>
            <w:r>
              <w:rPr>
                <w:rFonts w:hint="eastAsia" w:ascii="宋体" w:hAnsi="宋体" w:eastAsia="宋体" w:cs="宋体"/>
                <w:color w:val="auto"/>
              </w:rPr>
              <w:t>部分响应（扣分制）：配套软件基本满足，但非核心参数存在细微偏离（提供偏离表说明且不影响使用的），得2分；</w:t>
            </w:r>
          </w:p>
          <w:p w14:paraId="5B9EAEF8">
            <w:pPr>
              <w:rPr>
                <w:rFonts w:hint="eastAsia" w:ascii="宋体" w:hAnsi="宋体" w:eastAsia="宋体" w:cs="宋体"/>
                <w:color w:val="auto"/>
              </w:rPr>
            </w:pPr>
            <w:r>
              <w:rPr>
                <w:rFonts w:hint="eastAsia" w:ascii="宋体" w:hAnsi="宋体" w:eastAsia="宋体" w:cs="宋体"/>
                <w:color w:val="auto"/>
              </w:rPr>
              <w:t>不满足（0分）：软件功能缺失或未提供配套软件承诺的，得0分。</w:t>
            </w:r>
          </w:p>
          <w:p w14:paraId="71AB4D07">
            <w:pPr>
              <w:rPr>
                <w:rFonts w:hint="eastAsia" w:ascii="宋体" w:hAnsi="宋体" w:eastAsia="宋体" w:cs="宋体"/>
                <w:color w:val="auto"/>
              </w:rPr>
            </w:pPr>
          </w:p>
        </w:tc>
      </w:tr>
      <w:tr w14:paraId="3C7DF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trPr>
        <w:tc>
          <w:tcPr>
            <w:tcW w:w="765" w:type="pct"/>
            <w:tcBorders>
              <w:tl2br w:val="nil"/>
              <w:tr2bl w:val="nil"/>
            </w:tcBorders>
            <w:noWrap/>
            <w:vAlign w:val="center"/>
          </w:tcPr>
          <w:p w14:paraId="2DB51589">
            <w:pPr>
              <w:rPr>
                <w:rFonts w:hint="eastAsia" w:ascii="宋体" w:hAnsi="宋体" w:eastAsia="宋体" w:cs="宋体"/>
                <w:color w:val="auto"/>
              </w:rPr>
            </w:pPr>
            <w:r>
              <w:rPr>
                <w:rFonts w:hint="eastAsia" w:ascii="宋体" w:hAnsi="宋体" w:eastAsia="宋体" w:cs="宋体"/>
                <w:color w:val="auto"/>
              </w:rPr>
              <w:t>实训室部署方案评价</w:t>
            </w:r>
          </w:p>
        </w:tc>
        <w:tc>
          <w:tcPr>
            <w:tcW w:w="416" w:type="pct"/>
            <w:tcBorders>
              <w:tl2br w:val="nil"/>
              <w:tr2bl w:val="nil"/>
            </w:tcBorders>
            <w:noWrap/>
            <w:vAlign w:val="center"/>
          </w:tcPr>
          <w:p w14:paraId="1707E71D">
            <w:pPr>
              <w:rPr>
                <w:rFonts w:hint="eastAsia" w:ascii="宋体" w:hAnsi="宋体" w:eastAsia="宋体" w:cs="宋体"/>
                <w:color w:val="auto"/>
              </w:rPr>
            </w:pPr>
            <w:r>
              <w:rPr>
                <w:rFonts w:hint="eastAsia" w:ascii="宋体" w:hAnsi="宋体" w:eastAsia="宋体" w:cs="宋体"/>
                <w:color w:val="auto"/>
              </w:rPr>
              <w:t>4</w:t>
            </w:r>
          </w:p>
        </w:tc>
        <w:tc>
          <w:tcPr>
            <w:tcW w:w="3817" w:type="pct"/>
            <w:tcBorders>
              <w:tl2br w:val="nil"/>
              <w:tr2bl w:val="nil"/>
            </w:tcBorders>
            <w:noWrap/>
            <w:vAlign w:val="center"/>
          </w:tcPr>
          <w:p w14:paraId="2539FBCF">
            <w:pPr>
              <w:rPr>
                <w:rFonts w:hint="eastAsia" w:ascii="宋体" w:hAnsi="宋体" w:eastAsia="宋体" w:cs="宋体"/>
                <w:color w:val="auto"/>
              </w:rPr>
            </w:pPr>
            <w:r>
              <w:rPr>
                <w:rFonts w:hint="eastAsia" w:ascii="宋体" w:hAnsi="宋体" w:eastAsia="宋体" w:cs="宋体"/>
                <w:color w:val="auto"/>
              </w:rPr>
              <w:t>评价投标人针对实训室部署方案进行评价，要求方案内容包含整体布局配置要求、实训设备配置要求、网络布线与带外管理要求及软件定义网络功能需求的符合情况，①完整响应全部建设内容、符合技术要求、可实现业务目标，针对性强，无明显偏离，得 4 分；②方案基本响应招标需求，局部内容针对性不足，存在少量非关键偏离，经调整可满足项目要求，得2分；③方案响应度差，较多内容照搬通用模板，与本项目场景匹配度低，多处要求未落实，得 1分。</w:t>
            </w:r>
          </w:p>
        </w:tc>
      </w:tr>
      <w:tr w14:paraId="26069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65" w:type="pct"/>
            <w:tcBorders>
              <w:tl2br w:val="nil"/>
              <w:tr2bl w:val="nil"/>
            </w:tcBorders>
            <w:noWrap/>
            <w:vAlign w:val="center"/>
          </w:tcPr>
          <w:p w14:paraId="478C2E3B">
            <w:pPr>
              <w:rPr>
                <w:rFonts w:hint="eastAsia" w:ascii="宋体" w:hAnsi="宋体" w:eastAsia="宋体" w:cs="宋体"/>
                <w:color w:val="auto"/>
              </w:rPr>
            </w:pPr>
            <w:r>
              <w:rPr>
                <w:rFonts w:hint="eastAsia" w:ascii="宋体" w:hAnsi="宋体" w:eastAsia="宋体" w:cs="宋体"/>
                <w:color w:val="auto"/>
              </w:rPr>
              <w:t>实训安全培训扩展能力评价</w:t>
            </w:r>
          </w:p>
        </w:tc>
        <w:tc>
          <w:tcPr>
            <w:tcW w:w="416" w:type="pct"/>
            <w:tcBorders>
              <w:tl2br w:val="nil"/>
              <w:tr2bl w:val="nil"/>
            </w:tcBorders>
            <w:noWrap/>
            <w:vAlign w:val="center"/>
          </w:tcPr>
          <w:p w14:paraId="67D673A2">
            <w:pPr>
              <w:rPr>
                <w:rFonts w:hint="eastAsia" w:ascii="宋体" w:hAnsi="宋体" w:eastAsia="宋体" w:cs="宋体"/>
                <w:color w:val="auto"/>
              </w:rPr>
            </w:pPr>
            <w:r>
              <w:rPr>
                <w:rFonts w:hint="eastAsia" w:ascii="宋体" w:hAnsi="宋体" w:eastAsia="宋体" w:cs="宋体"/>
                <w:color w:val="auto"/>
              </w:rPr>
              <w:t>3</w:t>
            </w:r>
          </w:p>
        </w:tc>
        <w:tc>
          <w:tcPr>
            <w:tcW w:w="3817" w:type="pct"/>
            <w:tcBorders>
              <w:tl2br w:val="nil"/>
              <w:tr2bl w:val="nil"/>
            </w:tcBorders>
            <w:noWrap/>
            <w:vAlign w:val="center"/>
          </w:tcPr>
          <w:p w14:paraId="291F04C4">
            <w:pPr>
              <w:rPr>
                <w:rFonts w:hint="eastAsia" w:ascii="宋体" w:hAnsi="宋体" w:eastAsia="宋体" w:cs="宋体"/>
                <w:color w:val="auto"/>
              </w:rPr>
            </w:pPr>
            <w:r>
              <w:rPr>
                <w:rFonts w:hint="eastAsia" w:ascii="宋体" w:hAnsi="宋体" w:eastAsia="宋体" w:cs="宋体"/>
                <w:color w:val="auto"/>
              </w:rPr>
              <w:t>评价投标人针对实训室培训扩展能力方案进行评价，要求扩展配套可实现无线网络部署及管理、有线/无线MAC地址接入认证、有线/无线802.1X端口认证、有线/无线Portal网页认证等实操教学场景，①完整响应全部建设内容、符合技术要求、可实现业务目标，针对性强，无明显偏离，得 3 分；②方案基本响应招标需求，局部内容针对性不足，存在少量非关键偏离，经调整可满足项目要求，得2分；③方案响应度差，较多内容照搬通用模板，与本项目场景匹配度低，多处要求未落实，得 1分。</w:t>
            </w:r>
          </w:p>
        </w:tc>
      </w:tr>
    </w:tbl>
    <w:p w14:paraId="64EDA16C">
      <w:pPr>
        <w:spacing w:before="100" w:beforeAutospacing="1" w:after="100" w:afterAutospacing="1"/>
        <w:rPr>
          <w:rFonts w:hint="eastAsia" w:ascii="宋体" w:hAnsi="宋体" w:eastAsia="宋体" w:cs="宋体"/>
        </w:rPr>
      </w:pPr>
    </w:p>
    <w:p w14:paraId="206D3DC8">
      <w:pPr>
        <w:spacing w:before="100" w:beforeAutospacing="1" w:after="100" w:afterAutospacing="1"/>
        <w:ind w:firstLine="480"/>
        <w:rPr>
          <w:rFonts w:hint="eastAsia" w:ascii="宋体" w:hAnsi="宋体" w:eastAsia="宋体" w:cs="宋体"/>
          <w:b/>
          <w:bCs/>
          <w:sz w:val="24"/>
          <w:szCs w:val="24"/>
        </w:rPr>
      </w:pPr>
      <w:r>
        <w:rPr>
          <w:rFonts w:hint="eastAsia" w:ascii="宋体" w:hAnsi="宋体" w:eastAsia="宋体" w:cs="宋体"/>
          <w:b/>
          <w:bCs/>
          <w:sz w:val="24"/>
          <w:szCs w:val="24"/>
          <w:lang w:val="en-US" w:eastAsia="zh-CN"/>
        </w:rPr>
        <w:t>2.</w:t>
      </w:r>
      <w:r>
        <w:rPr>
          <w:rFonts w:hint="eastAsia" w:ascii="宋体" w:hAnsi="宋体" w:eastAsia="宋体" w:cs="宋体"/>
          <w:b/>
          <w:bCs/>
          <w:sz w:val="24"/>
          <w:szCs w:val="24"/>
        </w:rPr>
        <w:t>商务项满分为</w:t>
      </w:r>
      <w:r>
        <w:rPr>
          <w:rFonts w:hint="eastAsia" w:ascii="宋体" w:hAnsi="宋体" w:eastAsia="宋体" w:cs="宋体"/>
          <w:b/>
          <w:bCs/>
          <w:sz w:val="24"/>
          <w:szCs w:val="24"/>
          <w:u w:val="single"/>
        </w:rPr>
        <w:t>15</w:t>
      </w:r>
      <w:r>
        <w:rPr>
          <w:rFonts w:hint="eastAsia" w:ascii="宋体" w:hAnsi="宋体" w:eastAsia="宋体" w:cs="宋体"/>
          <w:b/>
          <w:bCs/>
          <w:sz w:val="24"/>
          <w:szCs w:val="24"/>
        </w:rPr>
        <w:t>分。</w:t>
      </w:r>
    </w:p>
    <w:tbl>
      <w:tblPr>
        <w:tblStyle w:val="12"/>
        <w:tblpPr w:leftFromText="180" w:rightFromText="180" w:vertAnchor="text" w:horzAnchor="page" w:tblpX="1434" w:tblpY="587"/>
        <w:tblOverlap w:val="never"/>
        <w:tblW w:w="51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7"/>
        <w:gridCol w:w="955"/>
        <w:gridCol w:w="7047"/>
      </w:tblGrid>
      <w:tr w14:paraId="21E41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14:paraId="590FBBA9">
            <w:pPr>
              <w:widowControl/>
              <w:spacing w:line="440" w:lineRule="exact"/>
              <w:jc w:val="center"/>
              <w:rPr>
                <w:rFonts w:hint="eastAsia" w:ascii="宋体" w:hAnsi="宋体" w:eastAsia="宋体" w:cs="宋体"/>
                <w:b/>
                <w:color w:val="auto"/>
                <w:szCs w:val="20"/>
              </w:rPr>
            </w:pPr>
            <w:r>
              <w:rPr>
                <w:rFonts w:hint="eastAsia" w:ascii="宋体" w:hAnsi="宋体" w:eastAsia="宋体" w:cs="宋体"/>
                <w:b/>
                <w:color w:val="auto"/>
                <w:szCs w:val="20"/>
              </w:rPr>
              <w:t>评标</w:t>
            </w:r>
          </w:p>
          <w:p w14:paraId="351B4DF6">
            <w:pPr>
              <w:widowControl/>
              <w:spacing w:line="440" w:lineRule="exact"/>
              <w:jc w:val="center"/>
              <w:rPr>
                <w:rFonts w:hint="eastAsia" w:ascii="宋体" w:hAnsi="宋体" w:eastAsia="宋体" w:cs="宋体"/>
                <w:b/>
                <w:color w:val="auto"/>
                <w:szCs w:val="20"/>
              </w:rPr>
            </w:pPr>
            <w:r>
              <w:rPr>
                <w:rFonts w:hint="eastAsia" w:ascii="宋体" w:hAnsi="宋体" w:eastAsia="宋体" w:cs="宋体"/>
                <w:b/>
                <w:color w:val="auto"/>
                <w:szCs w:val="20"/>
              </w:rPr>
              <w:t>项目</w:t>
            </w:r>
          </w:p>
        </w:tc>
        <w:tc>
          <w:tcPr>
            <w:tcW w:w="497" w:type="pct"/>
            <w:vAlign w:val="center"/>
          </w:tcPr>
          <w:p w14:paraId="5267200D">
            <w:pPr>
              <w:widowControl/>
              <w:spacing w:line="440" w:lineRule="exact"/>
              <w:jc w:val="center"/>
              <w:rPr>
                <w:rFonts w:hint="eastAsia" w:ascii="宋体" w:hAnsi="宋体" w:eastAsia="宋体" w:cs="宋体"/>
                <w:b/>
                <w:color w:val="auto"/>
                <w:szCs w:val="20"/>
              </w:rPr>
            </w:pPr>
            <w:r>
              <w:rPr>
                <w:rFonts w:hint="eastAsia" w:ascii="宋体" w:hAnsi="宋体" w:eastAsia="宋体" w:cs="宋体"/>
                <w:b/>
                <w:color w:val="auto"/>
                <w:szCs w:val="20"/>
              </w:rPr>
              <w:t>评标</w:t>
            </w:r>
          </w:p>
          <w:p w14:paraId="19F94FB3">
            <w:pPr>
              <w:widowControl/>
              <w:spacing w:line="440" w:lineRule="exact"/>
              <w:jc w:val="center"/>
              <w:rPr>
                <w:rFonts w:hint="eastAsia" w:ascii="宋体" w:hAnsi="宋体" w:eastAsia="宋体" w:cs="宋体"/>
                <w:b/>
                <w:color w:val="auto"/>
                <w:szCs w:val="20"/>
              </w:rPr>
            </w:pPr>
            <w:r>
              <w:rPr>
                <w:rFonts w:hint="eastAsia" w:ascii="宋体" w:hAnsi="宋体" w:eastAsia="宋体" w:cs="宋体"/>
                <w:b/>
                <w:color w:val="auto"/>
                <w:szCs w:val="20"/>
              </w:rPr>
              <w:t>分值</w:t>
            </w:r>
          </w:p>
        </w:tc>
        <w:tc>
          <w:tcPr>
            <w:tcW w:w="3669" w:type="pct"/>
            <w:vAlign w:val="center"/>
          </w:tcPr>
          <w:p w14:paraId="3692ED53">
            <w:pPr>
              <w:widowControl/>
              <w:spacing w:line="440" w:lineRule="exact"/>
              <w:jc w:val="center"/>
              <w:rPr>
                <w:rFonts w:hint="eastAsia" w:ascii="宋体" w:hAnsi="宋体" w:eastAsia="宋体" w:cs="宋体"/>
                <w:b/>
                <w:color w:val="auto"/>
                <w:szCs w:val="20"/>
              </w:rPr>
            </w:pPr>
            <w:r>
              <w:rPr>
                <w:rFonts w:hint="eastAsia" w:ascii="宋体" w:hAnsi="宋体" w:eastAsia="宋体" w:cs="宋体"/>
                <w:b/>
                <w:color w:val="auto"/>
                <w:szCs w:val="20"/>
              </w:rPr>
              <w:t>评标方法描述</w:t>
            </w:r>
          </w:p>
        </w:tc>
      </w:tr>
      <w:tr w14:paraId="57648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14:paraId="619D7A15">
            <w:pPr>
              <w:widowControl/>
              <w:spacing w:line="440" w:lineRule="exact"/>
              <w:jc w:val="center"/>
              <w:rPr>
                <w:rFonts w:hint="eastAsia" w:ascii="宋体" w:hAnsi="宋体" w:eastAsia="宋体" w:cs="宋体"/>
                <w:color w:val="auto"/>
                <w:szCs w:val="20"/>
              </w:rPr>
            </w:pPr>
            <w:r>
              <w:rPr>
                <w:rFonts w:hint="eastAsia" w:ascii="宋体" w:hAnsi="宋体" w:eastAsia="宋体" w:cs="宋体"/>
                <w:color w:val="auto"/>
                <w:szCs w:val="20"/>
              </w:rPr>
              <w:t>2-1</w:t>
            </w:r>
          </w:p>
        </w:tc>
        <w:tc>
          <w:tcPr>
            <w:tcW w:w="497" w:type="pct"/>
            <w:vAlign w:val="center"/>
          </w:tcPr>
          <w:p w14:paraId="45FDAD43">
            <w:pPr>
              <w:widowControl/>
              <w:spacing w:line="440" w:lineRule="exact"/>
              <w:jc w:val="center"/>
              <w:rPr>
                <w:rFonts w:hint="eastAsia" w:ascii="宋体" w:hAnsi="宋体" w:eastAsia="宋体" w:cs="宋体"/>
                <w:color w:val="auto"/>
                <w:szCs w:val="20"/>
              </w:rPr>
            </w:pPr>
            <w:r>
              <w:rPr>
                <w:rFonts w:hint="eastAsia" w:ascii="宋体" w:hAnsi="宋体" w:eastAsia="宋体" w:cs="宋体"/>
                <w:color w:val="auto"/>
                <w:szCs w:val="20"/>
              </w:rPr>
              <w:t>1</w:t>
            </w:r>
          </w:p>
        </w:tc>
        <w:tc>
          <w:tcPr>
            <w:tcW w:w="3669" w:type="pct"/>
            <w:vAlign w:val="center"/>
          </w:tcPr>
          <w:p w14:paraId="537D23B3">
            <w:pPr>
              <w:widowControl/>
              <w:spacing w:line="440" w:lineRule="exact"/>
              <w:jc w:val="left"/>
              <w:rPr>
                <w:rFonts w:hint="eastAsia" w:ascii="宋体" w:hAnsi="宋体" w:eastAsia="宋体" w:cs="宋体"/>
                <w:color w:val="auto"/>
                <w:szCs w:val="20"/>
              </w:rPr>
            </w:pPr>
            <w:r>
              <w:rPr>
                <w:rFonts w:hint="eastAsia" w:ascii="宋体" w:hAnsi="宋体" w:eastAsia="宋体" w:cs="宋体"/>
                <w:color w:val="auto"/>
                <w:szCs w:val="20"/>
              </w:rPr>
              <w:t>投标人具有信息技术服务管理体系认证 (ISO 20000)且在有效期内的，得1分。需提供证书扫描件，否则不得分。</w:t>
            </w:r>
          </w:p>
        </w:tc>
      </w:tr>
      <w:tr w14:paraId="0BFB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14:paraId="5C1576DA">
            <w:pPr>
              <w:widowControl/>
              <w:spacing w:line="440" w:lineRule="exact"/>
              <w:jc w:val="center"/>
              <w:rPr>
                <w:rFonts w:hint="eastAsia" w:ascii="宋体" w:hAnsi="宋体" w:eastAsia="宋体" w:cs="宋体"/>
                <w:color w:val="auto"/>
                <w:szCs w:val="20"/>
              </w:rPr>
            </w:pPr>
            <w:r>
              <w:rPr>
                <w:rFonts w:hint="eastAsia" w:ascii="宋体" w:hAnsi="宋体" w:eastAsia="宋体" w:cs="宋体"/>
                <w:color w:val="auto"/>
                <w:szCs w:val="20"/>
              </w:rPr>
              <w:t>2-2</w:t>
            </w:r>
          </w:p>
        </w:tc>
        <w:tc>
          <w:tcPr>
            <w:tcW w:w="497" w:type="pct"/>
            <w:vAlign w:val="center"/>
          </w:tcPr>
          <w:p w14:paraId="32583903">
            <w:pPr>
              <w:widowControl/>
              <w:spacing w:line="440" w:lineRule="exact"/>
              <w:jc w:val="center"/>
              <w:rPr>
                <w:rFonts w:hint="eastAsia" w:ascii="宋体" w:hAnsi="宋体" w:eastAsia="宋体" w:cs="宋体"/>
                <w:color w:val="auto"/>
                <w:szCs w:val="20"/>
              </w:rPr>
            </w:pPr>
            <w:r>
              <w:rPr>
                <w:rFonts w:hint="eastAsia" w:ascii="宋体" w:hAnsi="宋体" w:eastAsia="宋体" w:cs="宋体"/>
                <w:color w:val="auto"/>
                <w:szCs w:val="20"/>
              </w:rPr>
              <w:t>1</w:t>
            </w:r>
          </w:p>
        </w:tc>
        <w:tc>
          <w:tcPr>
            <w:tcW w:w="3669" w:type="pct"/>
            <w:vAlign w:val="center"/>
          </w:tcPr>
          <w:p w14:paraId="066CD200">
            <w:pPr>
              <w:widowControl/>
              <w:spacing w:line="440" w:lineRule="exact"/>
              <w:jc w:val="left"/>
              <w:rPr>
                <w:rFonts w:hint="eastAsia" w:ascii="宋体" w:hAnsi="宋体" w:eastAsia="宋体" w:cs="宋体"/>
                <w:color w:val="auto"/>
                <w:szCs w:val="20"/>
              </w:rPr>
            </w:pPr>
            <w:r>
              <w:rPr>
                <w:rFonts w:hint="eastAsia" w:ascii="宋体" w:hAnsi="宋体" w:eastAsia="宋体" w:cs="宋体"/>
                <w:color w:val="auto"/>
                <w:szCs w:val="20"/>
              </w:rPr>
              <w:t>投标人具有信息安全管理体系认证(ISO 27001)且在有效期内的，得1分。需提供证书扫描件，否则不得分。</w:t>
            </w:r>
          </w:p>
        </w:tc>
      </w:tr>
      <w:tr w14:paraId="70003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14:paraId="6A6AB76E">
            <w:pPr>
              <w:widowControl/>
              <w:spacing w:line="440" w:lineRule="exact"/>
              <w:jc w:val="center"/>
              <w:rPr>
                <w:rFonts w:hint="eastAsia" w:ascii="宋体" w:hAnsi="宋体" w:eastAsia="宋体" w:cs="宋体"/>
                <w:color w:val="auto"/>
                <w:szCs w:val="20"/>
              </w:rPr>
            </w:pPr>
            <w:r>
              <w:rPr>
                <w:rFonts w:hint="eastAsia" w:ascii="宋体" w:hAnsi="宋体" w:eastAsia="宋体" w:cs="宋体"/>
                <w:color w:val="auto"/>
                <w:szCs w:val="20"/>
              </w:rPr>
              <w:t>2-3</w:t>
            </w:r>
          </w:p>
        </w:tc>
        <w:tc>
          <w:tcPr>
            <w:tcW w:w="497" w:type="pct"/>
            <w:vAlign w:val="center"/>
          </w:tcPr>
          <w:p w14:paraId="70E464F3">
            <w:pPr>
              <w:widowControl/>
              <w:spacing w:line="440" w:lineRule="exact"/>
              <w:jc w:val="center"/>
              <w:rPr>
                <w:rFonts w:hint="eastAsia" w:ascii="宋体" w:hAnsi="宋体" w:eastAsia="宋体" w:cs="宋体"/>
                <w:color w:val="auto"/>
                <w:szCs w:val="20"/>
              </w:rPr>
            </w:pPr>
            <w:r>
              <w:rPr>
                <w:rFonts w:hint="eastAsia" w:ascii="宋体" w:hAnsi="宋体" w:eastAsia="宋体" w:cs="宋体"/>
                <w:color w:val="auto"/>
                <w:szCs w:val="20"/>
              </w:rPr>
              <w:t>2</w:t>
            </w:r>
          </w:p>
        </w:tc>
        <w:tc>
          <w:tcPr>
            <w:tcW w:w="3669" w:type="pct"/>
            <w:vAlign w:val="center"/>
          </w:tcPr>
          <w:p w14:paraId="236DEFCA">
            <w:pPr>
              <w:widowControl/>
              <w:spacing w:line="440" w:lineRule="exact"/>
              <w:jc w:val="left"/>
              <w:rPr>
                <w:rFonts w:hint="eastAsia" w:ascii="宋体" w:hAnsi="宋体" w:eastAsia="宋体" w:cs="宋体"/>
                <w:color w:val="auto"/>
                <w:szCs w:val="20"/>
              </w:rPr>
            </w:pPr>
            <w:r>
              <w:rPr>
                <w:rFonts w:hint="eastAsia" w:ascii="宋体" w:hAnsi="宋体" w:eastAsia="宋体" w:cs="宋体"/>
                <w:color w:val="auto"/>
                <w:szCs w:val="20"/>
              </w:rPr>
              <w:t>投标人承诺可提供所投品牌授权的专业</w:t>
            </w:r>
            <w:r>
              <w:rPr>
                <w:rFonts w:hint="eastAsia" w:ascii="宋体" w:hAnsi="宋体" w:eastAsia="宋体" w:cs="宋体"/>
                <w:bCs/>
                <w:color w:val="auto"/>
              </w:rPr>
              <w:t>实训室课程：数据通信核心技术教材， 得2分。</w:t>
            </w:r>
          </w:p>
        </w:tc>
      </w:tr>
      <w:tr w14:paraId="15906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14:paraId="4EE1C03B">
            <w:pPr>
              <w:widowControl/>
              <w:spacing w:line="440" w:lineRule="exact"/>
              <w:jc w:val="center"/>
              <w:rPr>
                <w:rFonts w:hint="eastAsia" w:ascii="宋体" w:hAnsi="宋体" w:eastAsia="宋体" w:cs="宋体"/>
                <w:color w:val="auto"/>
                <w:szCs w:val="20"/>
              </w:rPr>
            </w:pPr>
            <w:r>
              <w:rPr>
                <w:rFonts w:hint="eastAsia" w:ascii="宋体" w:hAnsi="宋体" w:eastAsia="宋体" w:cs="宋体"/>
                <w:color w:val="auto"/>
                <w:szCs w:val="20"/>
              </w:rPr>
              <w:t>2-4</w:t>
            </w:r>
          </w:p>
        </w:tc>
        <w:tc>
          <w:tcPr>
            <w:tcW w:w="497" w:type="pct"/>
            <w:vAlign w:val="center"/>
          </w:tcPr>
          <w:p w14:paraId="0CB258ED">
            <w:pPr>
              <w:widowControl/>
              <w:spacing w:line="440" w:lineRule="exact"/>
              <w:jc w:val="center"/>
              <w:rPr>
                <w:rFonts w:hint="eastAsia" w:ascii="宋体" w:hAnsi="宋体" w:eastAsia="宋体" w:cs="宋体"/>
                <w:color w:val="auto"/>
                <w:szCs w:val="20"/>
              </w:rPr>
            </w:pPr>
            <w:r>
              <w:rPr>
                <w:rFonts w:hint="eastAsia" w:ascii="宋体" w:hAnsi="宋体" w:eastAsia="宋体" w:cs="宋体"/>
                <w:color w:val="auto"/>
                <w:szCs w:val="20"/>
              </w:rPr>
              <w:t>2</w:t>
            </w:r>
          </w:p>
        </w:tc>
        <w:tc>
          <w:tcPr>
            <w:tcW w:w="3669" w:type="pct"/>
            <w:vAlign w:val="center"/>
          </w:tcPr>
          <w:p w14:paraId="15F96ECA">
            <w:pPr>
              <w:widowControl/>
              <w:snapToGrid w:val="0"/>
              <w:spacing w:line="440" w:lineRule="exact"/>
              <w:jc w:val="both"/>
              <w:rPr>
                <w:rFonts w:hint="eastAsia" w:ascii="宋体" w:hAnsi="宋体" w:eastAsia="宋体" w:cs="宋体"/>
                <w:color w:val="auto"/>
                <w:szCs w:val="20"/>
              </w:rPr>
            </w:pPr>
            <w:r>
              <w:rPr>
                <w:rFonts w:hint="eastAsia" w:ascii="宋体" w:hAnsi="宋体" w:eastAsia="宋体" w:cs="宋体"/>
                <w:color w:val="auto"/>
                <w:szCs w:val="20"/>
              </w:rPr>
              <w:t>投标人承诺可提供所投品牌授权的专业</w:t>
            </w:r>
            <w:r>
              <w:rPr>
                <w:rFonts w:hint="eastAsia" w:ascii="宋体" w:hAnsi="宋体" w:eastAsia="宋体" w:cs="宋体"/>
                <w:bCs/>
                <w:color w:val="auto"/>
              </w:rPr>
              <w:t>实训室课程：课程高级路由交换技术技术教材， 得2分。</w:t>
            </w:r>
          </w:p>
        </w:tc>
      </w:tr>
      <w:tr w14:paraId="0902C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14:paraId="2389C4C5">
            <w:pPr>
              <w:widowControl w:val="0"/>
              <w:spacing w:line="440" w:lineRule="exact"/>
              <w:jc w:val="center"/>
              <w:rPr>
                <w:rFonts w:hint="eastAsia" w:ascii="宋体" w:hAnsi="宋体" w:eastAsia="宋体" w:cs="宋体"/>
                <w:color w:val="auto"/>
                <w:szCs w:val="20"/>
              </w:rPr>
            </w:pPr>
            <w:r>
              <w:rPr>
                <w:rFonts w:hint="eastAsia" w:ascii="宋体" w:hAnsi="宋体" w:eastAsia="宋体" w:cs="宋体"/>
                <w:color w:val="auto"/>
                <w:szCs w:val="20"/>
              </w:rPr>
              <w:t>2-5</w:t>
            </w:r>
          </w:p>
        </w:tc>
        <w:tc>
          <w:tcPr>
            <w:tcW w:w="497" w:type="pct"/>
            <w:vAlign w:val="center"/>
          </w:tcPr>
          <w:p w14:paraId="518BEC0D">
            <w:pPr>
              <w:widowControl w:val="0"/>
              <w:spacing w:line="440" w:lineRule="exact"/>
              <w:jc w:val="center"/>
              <w:rPr>
                <w:rFonts w:hint="eastAsia" w:ascii="宋体" w:hAnsi="宋体" w:eastAsia="宋体" w:cs="宋体"/>
                <w:color w:val="auto"/>
                <w:szCs w:val="20"/>
              </w:rPr>
            </w:pPr>
            <w:r>
              <w:rPr>
                <w:rFonts w:hint="eastAsia" w:ascii="宋体" w:hAnsi="宋体" w:eastAsia="宋体" w:cs="宋体"/>
                <w:color w:val="auto"/>
                <w:szCs w:val="20"/>
              </w:rPr>
              <w:t>1</w:t>
            </w:r>
          </w:p>
        </w:tc>
        <w:tc>
          <w:tcPr>
            <w:tcW w:w="3669" w:type="pct"/>
            <w:vAlign w:val="center"/>
          </w:tcPr>
          <w:p w14:paraId="7D0A5931">
            <w:pPr>
              <w:widowControl w:val="0"/>
              <w:snapToGrid w:val="0"/>
              <w:spacing w:line="440" w:lineRule="exact"/>
              <w:jc w:val="both"/>
              <w:rPr>
                <w:rFonts w:hint="eastAsia" w:ascii="宋体" w:hAnsi="宋体" w:eastAsia="宋体" w:cs="宋体"/>
                <w:color w:val="auto"/>
                <w:szCs w:val="20"/>
              </w:rPr>
            </w:pPr>
            <w:r>
              <w:rPr>
                <w:rFonts w:hint="eastAsia" w:ascii="宋体" w:hAnsi="宋体" w:eastAsia="宋体" w:cs="宋体"/>
                <w:color w:val="auto"/>
                <w:szCs w:val="20"/>
              </w:rPr>
              <w:t>投标人承诺可提供所投品牌授权的专业</w:t>
            </w:r>
            <w:r>
              <w:rPr>
                <w:rFonts w:hint="eastAsia" w:ascii="宋体" w:hAnsi="宋体" w:eastAsia="宋体" w:cs="宋体"/>
                <w:bCs/>
                <w:color w:val="auto"/>
              </w:rPr>
              <w:t>实训室课程：课程无线网络技术技术教材， 得1分。</w:t>
            </w:r>
          </w:p>
        </w:tc>
      </w:tr>
      <w:tr w14:paraId="34040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14:paraId="502A1320">
            <w:pPr>
              <w:widowControl/>
              <w:spacing w:line="440" w:lineRule="exact"/>
              <w:jc w:val="center"/>
              <w:rPr>
                <w:rFonts w:hint="eastAsia" w:ascii="宋体" w:hAnsi="宋体" w:eastAsia="宋体" w:cs="宋体"/>
                <w:color w:val="auto"/>
                <w:szCs w:val="20"/>
              </w:rPr>
            </w:pPr>
            <w:r>
              <w:rPr>
                <w:rFonts w:hint="eastAsia" w:ascii="宋体" w:hAnsi="宋体" w:eastAsia="宋体" w:cs="宋体"/>
                <w:color w:val="auto"/>
                <w:szCs w:val="20"/>
              </w:rPr>
              <w:t>2-6</w:t>
            </w:r>
          </w:p>
        </w:tc>
        <w:tc>
          <w:tcPr>
            <w:tcW w:w="497" w:type="pct"/>
            <w:vAlign w:val="center"/>
          </w:tcPr>
          <w:p w14:paraId="09828146">
            <w:pPr>
              <w:widowControl/>
              <w:spacing w:line="440" w:lineRule="exact"/>
              <w:jc w:val="center"/>
              <w:rPr>
                <w:rFonts w:hint="eastAsia" w:ascii="宋体" w:hAnsi="宋体" w:eastAsia="宋体" w:cs="宋体"/>
                <w:color w:val="auto"/>
                <w:szCs w:val="20"/>
              </w:rPr>
            </w:pPr>
            <w:r>
              <w:rPr>
                <w:rFonts w:hint="eastAsia" w:ascii="宋体" w:hAnsi="宋体" w:eastAsia="宋体" w:cs="宋体"/>
                <w:color w:val="auto"/>
                <w:szCs w:val="20"/>
              </w:rPr>
              <w:t>3</w:t>
            </w:r>
          </w:p>
        </w:tc>
        <w:tc>
          <w:tcPr>
            <w:tcW w:w="3669" w:type="pct"/>
            <w:vAlign w:val="center"/>
          </w:tcPr>
          <w:p w14:paraId="10DD94F7">
            <w:pPr>
              <w:widowControl/>
              <w:snapToGrid w:val="0"/>
              <w:spacing w:line="440" w:lineRule="exact"/>
              <w:jc w:val="both"/>
              <w:rPr>
                <w:rFonts w:hint="eastAsia" w:ascii="宋体" w:hAnsi="宋体" w:eastAsia="宋体" w:cs="宋体"/>
                <w:color w:val="auto"/>
                <w:szCs w:val="20"/>
              </w:rPr>
            </w:pPr>
            <w:r>
              <w:rPr>
                <w:rFonts w:hint="eastAsia" w:ascii="宋体" w:hAnsi="宋体" w:eastAsia="宋体" w:cs="宋体"/>
                <w:color w:val="auto"/>
                <w:szCs w:val="20"/>
              </w:rPr>
              <w:t>投标人承诺可提供所投品牌</w:t>
            </w:r>
            <w:r>
              <w:rPr>
                <w:rFonts w:hint="eastAsia" w:ascii="宋体" w:hAnsi="宋体" w:eastAsia="宋体" w:cs="宋体"/>
                <w:bCs/>
                <w:color w:val="auto"/>
              </w:rPr>
              <w:t>高级工程师现场训练营、数据通信高级路由交换技术无线网络技术现场训练营,并由原厂工程师进行课件、实验环境的进行现场培训，总培训时间≥120小时，得3分；总培训时间≥90小时，得2分；总培训时间≥60小时，得1分。</w:t>
            </w:r>
          </w:p>
        </w:tc>
      </w:tr>
      <w:tr w14:paraId="5BB5F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14:paraId="072EBEE6">
            <w:pPr>
              <w:widowControl/>
              <w:spacing w:line="440" w:lineRule="exact"/>
              <w:jc w:val="center"/>
              <w:rPr>
                <w:rFonts w:hint="eastAsia" w:ascii="宋体" w:hAnsi="宋体" w:eastAsia="宋体" w:cs="宋体"/>
                <w:color w:val="auto"/>
                <w:szCs w:val="20"/>
              </w:rPr>
            </w:pPr>
            <w:r>
              <w:rPr>
                <w:rFonts w:hint="eastAsia" w:ascii="宋体" w:hAnsi="宋体" w:eastAsia="宋体" w:cs="宋体"/>
                <w:color w:val="auto"/>
                <w:szCs w:val="20"/>
              </w:rPr>
              <w:t>2-7</w:t>
            </w:r>
          </w:p>
        </w:tc>
        <w:tc>
          <w:tcPr>
            <w:tcW w:w="497" w:type="pct"/>
            <w:vAlign w:val="center"/>
          </w:tcPr>
          <w:p w14:paraId="19EDC8ED">
            <w:pPr>
              <w:widowControl/>
              <w:spacing w:line="440" w:lineRule="exact"/>
              <w:jc w:val="center"/>
              <w:rPr>
                <w:rFonts w:hint="eastAsia" w:ascii="宋体" w:hAnsi="宋体" w:eastAsia="宋体" w:cs="宋体"/>
                <w:color w:val="auto"/>
                <w:szCs w:val="20"/>
              </w:rPr>
            </w:pPr>
            <w:r>
              <w:rPr>
                <w:rFonts w:hint="eastAsia" w:ascii="宋体" w:hAnsi="宋体" w:eastAsia="宋体" w:cs="宋体"/>
                <w:color w:val="auto"/>
                <w:szCs w:val="20"/>
              </w:rPr>
              <w:t>3</w:t>
            </w:r>
          </w:p>
        </w:tc>
        <w:tc>
          <w:tcPr>
            <w:tcW w:w="3669" w:type="pct"/>
            <w:vAlign w:val="center"/>
          </w:tcPr>
          <w:p w14:paraId="3C764A01">
            <w:pPr>
              <w:widowControl/>
              <w:snapToGrid w:val="0"/>
              <w:spacing w:line="440" w:lineRule="exact"/>
              <w:jc w:val="both"/>
              <w:rPr>
                <w:rFonts w:hint="eastAsia" w:ascii="宋体" w:hAnsi="宋体" w:eastAsia="宋体" w:cs="宋体"/>
                <w:color w:val="auto"/>
                <w:szCs w:val="20"/>
              </w:rPr>
            </w:pPr>
            <w:r>
              <w:rPr>
                <w:rFonts w:hint="eastAsia" w:ascii="宋体" w:hAnsi="宋体" w:eastAsia="宋体" w:cs="宋体"/>
                <w:color w:val="auto"/>
                <w:szCs w:val="20"/>
              </w:rPr>
              <w:t>投标人承诺可提供所投品牌</w:t>
            </w:r>
            <w:r>
              <w:rPr>
                <w:rFonts w:hint="eastAsia" w:ascii="宋体" w:hAnsi="宋体" w:eastAsia="宋体" w:cs="宋体"/>
                <w:bCs/>
                <w:color w:val="auto"/>
              </w:rPr>
              <w:t>数据通信核心技术及数据通信高级路由交换技术无线网络技术考试资格进行评价，以3门技术方向可提供3次考试资格(6次资格)，得3分；以3门技术方向可提供2次考试资格，得2分(4次资格)；以3门技术方向可提供1次考试资格，得1分(2次资格)。</w:t>
            </w:r>
          </w:p>
        </w:tc>
      </w:tr>
      <w:tr w14:paraId="2F6F9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vAlign w:val="center"/>
          </w:tcPr>
          <w:p w14:paraId="054E76FC">
            <w:pPr>
              <w:widowControl/>
              <w:spacing w:line="440" w:lineRule="exact"/>
              <w:jc w:val="center"/>
              <w:rPr>
                <w:rFonts w:hint="eastAsia" w:ascii="宋体" w:hAnsi="宋体" w:eastAsia="宋体" w:cs="宋体"/>
                <w:b/>
                <w:color w:val="auto"/>
                <w:szCs w:val="20"/>
              </w:rPr>
            </w:pPr>
            <w:r>
              <w:rPr>
                <w:rFonts w:hint="eastAsia" w:ascii="宋体" w:hAnsi="宋体" w:eastAsia="宋体" w:cs="宋体"/>
                <w:color w:val="auto"/>
                <w:szCs w:val="20"/>
              </w:rPr>
              <w:t>2-8</w:t>
            </w:r>
          </w:p>
        </w:tc>
        <w:tc>
          <w:tcPr>
            <w:tcW w:w="497" w:type="pct"/>
            <w:vAlign w:val="center"/>
          </w:tcPr>
          <w:p w14:paraId="71BDDA10">
            <w:pPr>
              <w:widowControl/>
              <w:spacing w:line="440" w:lineRule="exact"/>
              <w:jc w:val="center"/>
              <w:rPr>
                <w:rFonts w:hint="eastAsia" w:ascii="宋体" w:hAnsi="宋体" w:eastAsia="宋体" w:cs="宋体"/>
                <w:color w:val="auto"/>
                <w:szCs w:val="20"/>
              </w:rPr>
            </w:pPr>
            <w:r>
              <w:rPr>
                <w:rFonts w:hint="eastAsia" w:ascii="宋体" w:hAnsi="宋体" w:eastAsia="宋体" w:cs="宋体"/>
                <w:color w:val="auto"/>
                <w:szCs w:val="20"/>
              </w:rPr>
              <w:t>2</w:t>
            </w:r>
          </w:p>
        </w:tc>
        <w:tc>
          <w:tcPr>
            <w:tcW w:w="3669" w:type="pct"/>
            <w:vAlign w:val="center"/>
          </w:tcPr>
          <w:p w14:paraId="5510BC85">
            <w:pPr>
              <w:widowControl/>
              <w:snapToGrid w:val="0"/>
              <w:spacing w:line="440" w:lineRule="exact"/>
              <w:jc w:val="both"/>
              <w:rPr>
                <w:rFonts w:hint="eastAsia" w:ascii="宋体" w:hAnsi="宋体" w:eastAsia="宋体" w:cs="宋体"/>
                <w:color w:val="auto"/>
                <w:szCs w:val="20"/>
              </w:rPr>
            </w:pPr>
            <w:r>
              <w:rPr>
                <w:rFonts w:hint="eastAsia" w:ascii="宋体" w:hAnsi="宋体" w:eastAsia="宋体" w:cs="宋体"/>
                <w:color w:val="auto"/>
                <w:szCs w:val="20"/>
              </w:rPr>
              <w:t>投标人拟投入本项目支撑团队人员具有计算机技术与软件专业技术资格（水平）网络工程师证书，每提供一个符合认证的工程师得1分，最高可得2分。投标人需提供人员有效证书扫描件以及投标截止时间前6个月中任意一个月的社保缴交材料，否则不得分。</w:t>
            </w:r>
          </w:p>
        </w:tc>
      </w:tr>
    </w:tbl>
    <w:p w14:paraId="4810CCF4">
      <w:pPr>
        <w:spacing w:before="100" w:beforeAutospacing="1" w:after="100" w:afterAutospacing="1"/>
        <w:rPr>
          <w:rFonts w:hint="eastAsia" w:ascii="宋体" w:hAnsi="宋体" w:eastAsia="宋体" w:cs="宋体"/>
          <w:lang w:val="en-US" w:eastAsia="zh-CN"/>
        </w:rPr>
      </w:pPr>
    </w:p>
    <w:tbl>
      <w:tblPr>
        <w:tblStyle w:val="11"/>
        <w:tblpPr w:leftFromText="180" w:rightFromText="180" w:vertAnchor="text" w:horzAnchor="page" w:tblpX="1526" w:tblpY="586"/>
        <w:tblOverlap w:val="never"/>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6"/>
        <w:gridCol w:w="1466"/>
        <w:gridCol w:w="6536"/>
      </w:tblGrid>
      <w:tr w14:paraId="08129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20" w:type="pct"/>
            <w:noWrap w:val="0"/>
            <w:vAlign w:val="center"/>
          </w:tcPr>
          <w:p w14:paraId="1C9DF585">
            <w:pPr>
              <w:widowControl/>
              <w:jc w:val="center"/>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评标项目</w:t>
            </w:r>
          </w:p>
        </w:tc>
        <w:tc>
          <w:tcPr>
            <w:tcW w:w="784" w:type="pct"/>
            <w:noWrap w:val="0"/>
            <w:vAlign w:val="center"/>
          </w:tcPr>
          <w:p w14:paraId="55027F05">
            <w:pPr>
              <w:widowControl/>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rPr>
              <w:t>评标分值</w:t>
            </w:r>
          </w:p>
        </w:tc>
        <w:tc>
          <w:tcPr>
            <w:tcW w:w="3495" w:type="pct"/>
            <w:noWrap w:val="0"/>
            <w:vAlign w:val="center"/>
          </w:tcPr>
          <w:p w14:paraId="30AFD64A">
            <w:pPr>
              <w:widowControl/>
              <w:jc w:val="center"/>
              <w:rPr>
                <w:rFonts w:hint="eastAsia" w:ascii="宋体" w:hAnsi="宋体" w:eastAsia="宋体" w:cs="宋体"/>
                <w:b/>
                <w:bCs/>
                <w:color w:val="auto"/>
                <w:kern w:val="0"/>
                <w:sz w:val="24"/>
                <w:szCs w:val="24"/>
              </w:rPr>
            </w:pPr>
            <w:r>
              <w:rPr>
                <w:rFonts w:hint="eastAsia" w:ascii="宋体" w:hAnsi="宋体" w:eastAsia="宋体" w:cs="宋体"/>
                <w:b/>
                <w:bCs/>
                <w:color w:val="auto"/>
                <w:sz w:val="24"/>
                <w:szCs w:val="24"/>
              </w:rPr>
              <w:t>评标方法描述</w:t>
            </w:r>
          </w:p>
        </w:tc>
      </w:tr>
      <w:tr w14:paraId="1BCF5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pct"/>
            <w:vMerge w:val="restart"/>
            <w:noWrap w:val="0"/>
            <w:vAlign w:val="center"/>
          </w:tcPr>
          <w:p w14:paraId="6F6B8CD6">
            <w:pPr>
              <w:widowControl/>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价格</w:t>
            </w:r>
          </w:p>
        </w:tc>
        <w:tc>
          <w:tcPr>
            <w:tcW w:w="784" w:type="pct"/>
            <w:vMerge w:val="restart"/>
            <w:noWrap w:val="0"/>
            <w:vAlign w:val="center"/>
          </w:tcPr>
          <w:p w14:paraId="60F295BC">
            <w:pPr>
              <w:widowControl/>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30</w:t>
            </w:r>
          </w:p>
        </w:tc>
        <w:tc>
          <w:tcPr>
            <w:tcW w:w="3495" w:type="pct"/>
            <w:noWrap w:val="0"/>
            <w:vAlign w:val="center"/>
          </w:tcPr>
          <w:p w14:paraId="11D04A9A">
            <w:pPr>
              <w:widowControl/>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（1）评标基准价:通过初步评审的最低有效评标价。</w:t>
            </w:r>
          </w:p>
        </w:tc>
      </w:tr>
      <w:tr w14:paraId="5CF4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pct"/>
            <w:vMerge w:val="continue"/>
            <w:noWrap w:val="0"/>
            <w:vAlign w:val="center"/>
          </w:tcPr>
          <w:p w14:paraId="187EE239">
            <w:pPr>
              <w:widowControl/>
              <w:jc w:val="center"/>
              <w:rPr>
                <w:rFonts w:hint="eastAsia" w:ascii="宋体" w:hAnsi="宋体" w:eastAsia="宋体" w:cs="宋体"/>
                <w:color w:val="auto"/>
                <w:kern w:val="0"/>
                <w:sz w:val="24"/>
                <w:szCs w:val="24"/>
              </w:rPr>
            </w:pPr>
          </w:p>
        </w:tc>
        <w:tc>
          <w:tcPr>
            <w:tcW w:w="784" w:type="pct"/>
            <w:vMerge w:val="continue"/>
            <w:noWrap w:val="0"/>
            <w:vAlign w:val="center"/>
          </w:tcPr>
          <w:p w14:paraId="0412AB6A">
            <w:pPr>
              <w:widowControl/>
              <w:rPr>
                <w:rFonts w:hint="eastAsia" w:ascii="宋体" w:hAnsi="宋体" w:eastAsia="宋体" w:cs="宋体"/>
                <w:color w:val="auto"/>
                <w:kern w:val="0"/>
                <w:sz w:val="24"/>
                <w:szCs w:val="24"/>
              </w:rPr>
            </w:pPr>
          </w:p>
        </w:tc>
        <w:tc>
          <w:tcPr>
            <w:tcW w:w="3495" w:type="pct"/>
            <w:noWrap w:val="0"/>
            <w:vAlign w:val="center"/>
          </w:tcPr>
          <w:p w14:paraId="0A3BE4B0">
            <w:pPr>
              <w:widowControl/>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（2）评审价得分计算：评标价得分=评标基准价/评标价*权重分值</w:t>
            </w:r>
          </w:p>
        </w:tc>
      </w:tr>
    </w:tbl>
    <w:p w14:paraId="0BB1C819">
      <w:pPr>
        <w:spacing w:before="100" w:beforeAutospacing="1" w:after="100" w:afterAutospacing="1"/>
        <w:ind w:firstLine="48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3.价格项满分为</w:t>
      </w:r>
      <w:r>
        <w:rPr>
          <w:rFonts w:hint="eastAsia" w:ascii="宋体" w:hAnsi="宋体" w:eastAsia="宋体" w:cs="宋体"/>
          <w:b/>
          <w:bCs/>
          <w:sz w:val="24"/>
          <w:szCs w:val="24"/>
          <w:u w:val="single"/>
          <w:lang w:val="en-US" w:eastAsia="zh-CN"/>
        </w:rPr>
        <w:t>30</w:t>
      </w:r>
      <w:r>
        <w:rPr>
          <w:rFonts w:hint="eastAsia" w:ascii="宋体" w:hAnsi="宋体" w:eastAsia="宋体" w:cs="宋体"/>
          <w:b/>
          <w:bCs/>
          <w:sz w:val="24"/>
          <w:szCs w:val="24"/>
          <w:lang w:val="en-US" w:eastAsia="zh-CN"/>
        </w:rPr>
        <w:t>分。</w:t>
      </w:r>
    </w:p>
    <w:p w14:paraId="05A95CDF">
      <w:pPr>
        <w:spacing w:line="360" w:lineRule="auto"/>
        <w:ind w:firstLine="480"/>
        <w:rPr>
          <w:rFonts w:hint="eastAsia" w:ascii="宋体" w:hAnsi="宋体" w:eastAsia="宋体" w:cs="宋体"/>
          <w:b/>
          <w:bCs/>
          <w:color w:val="000000" w:themeColor="text1"/>
          <w:sz w:val="28"/>
          <w:szCs w:val="28"/>
          <w:lang w:val="en-US" w:eastAsia="zh-CN"/>
          <w14:textFill>
            <w14:solidFill>
              <w14:schemeClr w14:val="tx1"/>
            </w14:solidFill>
          </w14:textFill>
        </w:rPr>
      </w:pPr>
    </w:p>
    <w:p w14:paraId="577F862D">
      <w:pPr>
        <w:spacing w:line="360" w:lineRule="auto"/>
        <w:ind w:firstLine="480"/>
        <w:rPr>
          <w:rFonts w:hint="eastAsia" w:ascii="宋体" w:hAnsi="宋体" w:eastAsia="宋体" w:cs="宋体"/>
          <w:b/>
          <w:bCs/>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八、其他要求</w:t>
      </w:r>
    </w:p>
    <w:p w14:paraId="524B413E">
      <w:pPr>
        <w:spacing w:line="360" w:lineRule="auto"/>
        <w:ind w:firstLine="480" w:firstLineChars="200"/>
        <w:rPr>
          <w:rFonts w:hint="eastAsia" w:ascii="宋体" w:hAnsi="宋体" w:eastAsia="宋体" w:cs="宋体"/>
        </w:rPr>
      </w:pPr>
      <w:r>
        <w:rPr>
          <w:rFonts w:hint="eastAsia" w:ascii="宋体" w:hAnsi="宋体" w:eastAsia="宋体" w:cs="宋体"/>
        </w:rPr>
        <w:t>1、投标人应按照本采购项目特点提供长期良好的售后服务，并在投标文件中提供详细具体的售后服务承诺条款及保证。所有采购网络产品（无线控制器、AP、交换机、网管、认证平台）保修信息、设备信息必须是对应厦门大学嘉庚学院，且能提供官网验证和中标人购买原厂服务的其他证据。</w:t>
      </w:r>
    </w:p>
    <w:p w14:paraId="2C12B9A5">
      <w:pPr>
        <w:spacing w:line="360" w:lineRule="auto"/>
        <w:ind w:firstLine="480" w:firstLineChars="200"/>
        <w:rPr>
          <w:rFonts w:hint="eastAsia" w:ascii="宋体" w:hAnsi="宋体" w:eastAsia="宋体" w:cs="宋体"/>
        </w:rPr>
      </w:pPr>
      <w:r>
        <w:rPr>
          <w:rFonts w:hint="eastAsia" w:ascii="宋体" w:hAnsi="宋体" w:eastAsia="宋体" w:cs="宋体"/>
        </w:rPr>
        <w:t>2、本批招标项目要求投标人承诺对设备提供自验收合格之日起至少</w:t>
      </w:r>
      <w:r>
        <w:rPr>
          <w:rFonts w:hint="eastAsia" w:ascii="宋体" w:hAnsi="宋体" w:eastAsia="宋体" w:cs="宋体"/>
          <w:color w:val="FF0000"/>
          <w:highlight w:val="none"/>
        </w:rPr>
        <w:t>三</w:t>
      </w:r>
      <w:r>
        <w:rPr>
          <w:rFonts w:hint="eastAsia" w:ascii="宋体" w:hAnsi="宋体" w:eastAsia="宋体" w:cs="宋体"/>
          <w:highlight w:val="none"/>
        </w:rPr>
        <w:t>年质</w:t>
      </w:r>
      <w:r>
        <w:rPr>
          <w:rFonts w:hint="eastAsia" w:ascii="宋体" w:hAnsi="宋体" w:eastAsia="宋体" w:cs="宋体"/>
        </w:rPr>
        <w:t>保及免费驻场服务，所需的费用应包含在投标报价中。</w:t>
      </w:r>
    </w:p>
    <w:p w14:paraId="6568CBC7">
      <w:pPr>
        <w:spacing w:line="360" w:lineRule="auto"/>
        <w:ind w:firstLine="480" w:firstLineChars="200"/>
        <w:rPr>
          <w:rFonts w:hint="eastAsia" w:ascii="宋体" w:hAnsi="宋体" w:eastAsia="宋体" w:cs="宋体"/>
        </w:rPr>
      </w:pPr>
      <w:r>
        <w:rPr>
          <w:rFonts w:hint="eastAsia" w:ascii="宋体" w:hAnsi="宋体" w:eastAsia="宋体" w:cs="宋体"/>
        </w:rPr>
        <w:t>3、要求中标人提供日常巡检服务以及季度深度巡检服务（该维护人员必须具备2年以上网络从业经验，且具有投标品牌技术工程师认证资格）。必须提供一个热线电话，保证7×24小时响应。</w:t>
      </w:r>
    </w:p>
    <w:p w14:paraId="005E6D29">
      <w:pPr>
        <w:spacing w:line="360" w:lineRule="auto"/>
        <w:ind w:firstLine="480" w:firstLineChars="200"/>
        <w:rPr>
          <w:rFonts w:hint="eastAsia" w:ascii="宋体" w:hAnsi="宋体" w:eastAsia="宋体" w:cs="宋体"/>
        </w:rPr>
      </w:pPr>
      <w:r>
        <w:rPr>
          <w:rFonts w:hint="eastAsia" w:ascii="宋体" w:hAnsi="宋体" w:eastAsia="宋体" w:cs="宋体"/>
        </w:rPr>
        <w:t>4、所投的设备均必须享受至少三年原厂服务；无线控制器、无线AP、交换机等系统软件在免费维保期内应免费及时升级，无线认证系统等相关软件至少在三年内免费将版本升级到最新版，如有特征库之类需升级，也需免费升级。</w:t>
      </w:r>
    </w:p>
    <w:p w14:paraId="418E6588">
      <w:pPr>
        <w:spacing w:line="360" w:lineRule="auto"/>
        <w:ind w:firstLine="480" w:firstLineChars="200"/>
        <w:rPr>
          <w:rFonts w:hint="eastAsia" w:ascii="宋体" w:hAnsi="宋体" w:eastAsia="宋体" w:cs="宋体"/>
        </w:rPr>
      </w:pPr>
      <w:r>
        <w:rPr>
          <w:rFonts w:hint="eastAsia" w:ascii="宋体" w:hAnsi="宋体" w:eastAsia="宋体" w:cs="宋体"/>
        </w:rPr>
        <w:t>5、中标人应根据采购人指定的地点提供免费送货、安装、调试服务。</w:t>
      </w:r>
    </w:p>
    <w:p w14:paraId="0ED9EF9F">
      <w:pPr>
        <w:spacing w:line="360" w:lineRule="auto"/>
        <w:ind w:firstLine="480" w:firstLineChars="200"/>
        <w:rPr>
          <w:rFonts w:hint="eastAsia" w:ascii="宋体" w:hAnsi="宋体" w:eastAsia="宋体" w:cs="宋体"/>
        </w:rPr>
      </w:pPr>
      <w:r>
        <w:rPr>
          <w:rFonts w:hint="eastAsia" w:ascii="宋体" w:hAnsi="宋体" w:eastAsia="宋体" w:cs="宋体"/>
        </w:rPr>
        <w:t>6、中标人应提供设备相关的配套技术资料，包括常用操作手册（中文版）及维修保养手册等。</w:t>
      </w:r>
    </w:p>
    <w:p w14:paraId="59CA6720">
      <w:pPr>
        <w:spacing w:line="360" w:lineRule="auto"/>
        <w:ind w:firstLine="480" w:firstLineChars="200"/>
        <w:rPr>
          <w:rFonts w:hint="eastAsia" w:ascii="宋体" w:hAnsi="宋体" w:eastAsia="宋体" w:cs="宋体"/>
        </w:rPr>
      </w:pPr>
      <w:r>
        <w:rPr>
          <w:rFonts w:hint="eastAsia" w:ascii="宋体" w:hAnsi="宋体" w:eastAsia="宋体" w:cs="宋体"/>
        </w:rPr>
        <w:t>7、若中标产品发生故障，中标人须在1小时内响应，2小时内修复；特殊情况在4小时内无法恢复的，质保期内中标人应予以更换新设备或提供代用设备；在维修及维护期内应予提供代用设备或使设备可正常运转的措施。</w:t>
      </w:r>
    </w:p>
    <w:p w14:paraId="44E31197">
      <w:pPr>
        <w:spacing w:line="360" w:lineRule="auto"/>
        <w:ind w:firstLine="480" w:firstLineChars="200"/>
        <w:rPr>
          <w:rFonts w:hint="eastAsia" w:ascii="宋体" w:hAnsi="宋体" w:eastAsia="宋体" w:cs="宋体"/>
        </w:rPr>
      </w:pPr>
      <w:r>
        <w:rPr>
          <w:rFonts w:hint="eastAsia" w:ascii="宋体" w:hAnsi="宋体" w:eastAsia="宋体" w:cs="宋体"/>
        </w:rPr>
        <w:t>8、投标人认为有利于采购人的其他优惠条款应单独列明。</w:t>
      </w:r>
    </w:p>
    <w:p w14:paraId="562694F6">
      <w:pPr>
        <w:spacing w:line="360" w:lineRule="auto"/>
        <w:rPr>
          <w:rFonts w:hint="eastAsia" w:ascii="宋体" w:hAnsi="宋体" w:eastAsia="宋体" w:cs="宋体"/>
          <w:color w:val="000000" w:themeColor="text1"/>
          <w14:textFill>
            <w14:solidFill>
              <w14:schemeClr w14:val="tx1"/>
            </w14:solidFill>
          </w14:textFill>
        </w:rPr>
      </w:pPr>
    </w:p>
    <w:p w14:paraId="212D89AB">
      <w:pPr>
        <w:spacing w:line="360" w:lineRule="auto"/>
        <w:rPr>
          <w:rFonts w:hint="eastAsia" w:ascii="宋体" w:hAnsi="宋体" w:eastAsia="宋体" w:cs="宋体"/>
          <w:color w:val="000000" w:themeColor="text1"/>
          <w14:textFill>
            <w14:solidFill>
              <w14:schemeClr w14:val="tx1"/>
            </w14:solidFill>
          </w14:textFill>
        </w:rPr>
      </w:pPr>
    </w:p>
    <w:sectPr>
      <w:footerReference r:id="rId3" w:type="default"/>
      <w:pgSz w:w="12240" w:h="15840"/>
      <w:pgMar w:top="1440" w:right="1440" w:bottom="1440" w:left="1440" w:header="708" w:footer="708" w:gutter="0"/>
      <w:pgBorders>
        <w:top w:val="none" w:sz="0" w:space="0"/>
        <w:left w:val="none" w:sz="0" w:space="0"/>
        <w:bottom w:val="none" w:sz="0" w:space="0"/>
        <w:right w:val="none" w:sz="0" w:space="0"/>
      </w:pgBorders>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4D68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8A83A6">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58A83A6">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322424"/>
    <w:multiLevelType w:val="multilevel"/>
    <w:tmpl w:val="64322424"/>
    <w:lvl w:ilvl="0" w:tentative="0">
      <w:start w:val="1"/>
      <w:numFmt w:val="decimal"/>
      <w:lvlText w:val="%1."/>
      <w:lvlJc w:val="left"/>
      <w:pPr>
        <w:tabs>
          <w:tab w:val="left" w:pos="720"/>
        </w:tabs>
        <w:ind w:left="720" w:hanging="720"/>
      </w:pPr>
    </w:lvl>
    <w:lvl w:ilvl="1" w:tentative="0">
      <w:start w:val="1"/>
      <w:numFmt w:val="decimal"/>
      <w:pStyle w:val="3"/>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1">
    <w:nsid w:val="70575F32"/>
    <w:multiLevelType w:val="singleLevel"/>
    <w:tmpl w:val="70575F32"/>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E7E"/>
    <w:rsid w:val="00002BB5"/>
    <w:rsid w:val="00007AAB"/>
    <w:rsid w:val="00035C14"/>
    <w:rsid w:val="00040DC7"/>
    <w:rsid w:val="0007473E"/>
    <w:rsid w:val="0007524B"/>
    <w:rsid w:val="0009017B"/>
    <w:rsid w:val="00097A2D"/>
    <w:rsid w:val="00097F8C"/>
    <w:rsid w:val="000A54D1"/>
    <w:rsid w:val="000B1D71"/>
    <w:rsid w:val="000C2F9C"/>
    <w:rsid w:val="000E2437"/>
    <w:rsid w:val="000E2C6D"/>
    <w:rsid w:val="00104168"/>
    <w:rsid w:val="00113748"/>
    <w:rsid w:val="00113F30"/>
    <w:rsid w:val="00146BB5"/>
    <w:rsid w:val="00154820"/>
    <w:rsid w:val="00163616"/>
    <w:rsid w:val="00196BB7"/>
    <w:rsid w:val="001D6309"/>
    <w:rsid w:val="001E156D"/>
    <w:rsid w:val="002122D9"/>
    <w:rsid w:val="0021614B"/>
    <w:rsid w:val="00217D49"/>
    <w:rsid w:val="002303B4"/>
    <w:rsid w:val="0025678A"/>
    <w:rsid w:val="002851D8"/>
    <w:rsid w:val="002C1986"/>
    <w:rsid w:val="002C74EB"/>
    <w:rsid w:val="002D0BD3"/>
    <w:rsid w:val="003064AF"/>
    <w:rsid w:val="00341BB6"/>
    <w:rsid w:val="00342E52"/>
    <w:rsid w:val="003503BF"/>
    <w:rsid w:val="00351698"/>
    <w:rsid w:val="003533A9"/>
    <w:rsid w:val="00367A39"/>
    <w:rsid w:val="003776A0"/>
    <w:rsid w:val="00383C90"/>
    <w:rsid w:val="003852DB"/>
    <w:rsid w:val="003A5A04"/>
    <w:rsid w:val="003C5D33"/>
    <w:rsid w:val="003D78F2"/>
    <w:rsid w:val="0040590B"/>
    <w:rsid w:val="00421E91"/>
    <w:rsid w:val="00432F3F"/>
    <w:rsid w:val="00435BB1"/>
    <w:rsid w:val="00452A8D"/>
    <w:rsid w:val="00484271"/>
    <w:rsid w:val="004A085D"/>
    <w:rsid w:val="004B5FC6"/>
    <w:rsid w:val="004C076B"/>
    <w:rsid w:val="004C2000"/>
    <w:rsid w:val="004C5C41"/>
    <w:rsid w:val="004E0DFA"/>
    <w:rsid w:val="004E17DC"/>
    <w:rsid w:val="004F3EA5"/>
    <w:rsid w:val="004F5459"/>
    <w:rsid w:val="00513793"/>
    <w:rsid w:val="005302E0"/>
    <w:rsid w:val="005364E1"/>
    <w:rsid w:val="00552E3A"/>
    <w:rsid w:val="00553C63"/>
    <w:rsid w:val="005614BC"/>
    <w:rsid w:val="005629B3"/>
    <w:rsid w:val="005C72E3"/>
    <w:rsid w:val="005F088E"/>
    <w:rsid w:val="00600D71"/>
    <w:rsid w:val="00625937"/>
    <w:rsid w:val="006333CE"/>
    <w:rsid w:val="00650D15"/>
    <w:rsid w:val="006803BD"/>
    <w:rsid w:val="006C2CDA"/>
    <w:rsid w:val="006C6D3A"/>
    <w:rsid w:val="006D3786"/>
    <w:rsid w:val="006D55B4"/>
    <w:rsid w:val="006E1B19"/>
    <w:rsid w:val="007121B6"/>
    <w:rsid w:val="00785289"/>
    <w:rsid w:val="00786AC3"/>
    <w:rsid w:val="007935BD"/>
    <w:rsid w:val="007A35F8"/>
    <w:rsid w:val="007B58FB"/>
    <w:rsid w:val="007E195B"/>
    <w:rsid w:val="008240E9"/>
    <w:rsid w:val="0083589A"/>
    <w:rsid w:val="00836E06"/>
    <w:rsid w:val="0088089C"/>
    <w:rsid w:val="008C50F4"/>
    <w:rsid w:val="008F309A"/>
    <w:rsid w:val="00915084"/>
    <w:rsid w:val="00922E7E"/>
    <w:rsid w:val="00937C17"/>
    <w:rsid w:val="00964D29"/>
    <w:rsid w:val="00975AE7"/>
    <w:rsid w:val="009A02A9"/>
    <w:rsid w:val="009C371F"/>
    <w:rsid w:val="009E027E"/>
    <w:rsid w:val="009E4AD8"/>
    <w:rsid w:val="009E6BA7"/>
    <w:rsid w:val="009E6FDC"/>
    <w:rsid w:val="009F7769"/>
    <w:rsid w:val="00A23950"/>
    <w:rsid w:val="00A31CD2"/>
    <w:rsid w:val="00A378D0"/>
    <w:rsid w:val="00A601B6"/>
    <w:rsid w:val="00A70F25"/>
    <w:rsid w:val="00A81E23"/>
    <w:rsid w:val="00A86F4B"/>
    <w:rsid w:val="00A96302"/>
    <w:rsid w:val="00AA74E5"/>
    <w:rsid w:val="00AB2BB8"/>
    <w:rsid w:val="00AC56B0"/>
    <w:rsid w:val="00AE16EC"/>
    <w:rsid w:val="00B14557"/>
    <w:rsid w:val="00B2552F"/>
    <w:rsid w:val="00B45729"/>
    <w:rsid w:val="00B601D8"/>
    <w:rsid w:val="00BC0701"/>
    <w:rsid w:val="00BD23B4"/>
    <w:rsid w:val="00BD697D"/>
    <w:rsid w:val="00BE1503"/>
    <w:rsid w:val="00BE647C"/>
    <w:rsid w:val="00C0056E"/>
    <w:rsid w:val="00C1699D"/>
    <w:rsid w:val="00C16C73"/>
    <w:rsid w:val="00C20EC7"/>
    <w:rsid w:val="00C340ED"/>
    <w:rsid w:val="00C42081"/>
    <w:rsid w:val="00C569A0"/>
    <w:rsid w:val="00C70DAF"/>
    <w:rsid w:val="00C83663"/>
    <w:rsid w:val="00C943FB"/>
    <w:rsid w:val="00CA5AA0"/>
    <w:rsid w:val="00CA6EE4"/>
    <w:rsid w:val="00CB357C"/>
    <w:rsid w:val="00CC5E3F"/>
    <w:rsid w:val="00CD37CF"/>
    <w:rsid w:val="00CD48B8"/>
    <w:rsid w:val="00CD6669"/>
    <w:rsid w:val="00CD7983"/>
    <w:rsid w:val="00D11812"/>
    <w:rsid w:val="00D50664"/>
    <w:rsid w:val="00D51B8D"/>
    <w:rsid w:val="00D55B93"/>
    <w:rsid w:val="00D62DC6"/>
    <w:rsid w:val="00D63A52"/>
    <w:rsid w:val="00D67C91"/>
    <w:rsid w:val="00D74168"/>
    <w:rsid w:val="00DA0DE0"/>
    <w:rsid w:val="00DB4563"/>
    <w:rsid w:val="00DE1D76"/>
    <w:rsid w:val="00DE58B1"/>
    <w:rsid w:val="00E0072D"/>
    <w:rsid w:val="00E03D6A"/>
    <w:rsid w:val="00E44AD9"/>
    <w:rsid w:val="00E66AA3"/>
    <w:rsid w:val="00EA015B"/>
    <w:rsid w:val="00EA5C84"/>
    <w:rsid w:val="00EE25E1"/>
    <w:rsid w:val="00EE38E1"/>
    <w:rsid w:val="00EE5955"/>
    <w:rsid w:val="00EF64D8"/>
    <w:rsid w:val="00EF7A60"/>
    <w:rsid w:val="00F24AC8"/>
    <w:rsid w:val="00F31B9C"/>
    <w:rsid w:val="00F33515"/>
    <w:rsid w:val="00F4259C"/>
    <w:rsid w:val="00F53A3D"/>
    <w:rsid w:val="00F6739E"/>
    <w:rsid w:val="00F774F6"/>
    <w:rsid w:val="00F80A68"/>
    <w:rsid w:val="00F825AD"/>
    <w:rsid w:val="00FA7AD1"/>
    <w:rsid w:val="00FC4C99"/>
    <w:rsid w:val="00FD4CCE"/>
    <w:rsid w:val="00FE120E"/>
    <w:rsid w:val="00FE5641"/>
    <w:rsid w:val="027B23FE"/>
    <w:rsid w:val="0F300675"/>
    <w:rsid w:val="11AC245A"/>
    <w:rsid w:val="15FF7522"/>
    <w:rsid w:val="187B0706"/>
    <w:rsid w:val="43AB3445"/>
    <w:rsid w:val="49AE6C48"/>
    <w:rsid w:val="4F772715"/>
    <w:rsid w:val="510F3A0B"/>
    <w:rsid w:val="5A8F19FA"/>
    <w:rsid w:val="5DE87275"/>
    <w:rsid w:val="68AD08CA"/>
    <w:rsid w:val="6E5157D2"/>
    <w:rsid w:val="7FEC33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zh-CN" w:bidi="ar-SA"/>
    </w:rPr>
  </w:style>
  <w:style w:type="paragraph" w:styleId="2">
    <w:name w:val="heading 1"/>
    <w:basedOn w:val="1"/>
    <w:next w:val="1"/>
    <w:qFormat/>
    <w:uiPriority w:val="0"/>
    <w:pPr>
      <w:keepNext/>
      <w:keepLines/>
      <w:spacing w:before="340" w:after="330" w:line="576" w:lineRule="auto"/>
      <w:outlineLvl w:val="0"/>
    </w:pPr>
    <w:rPr>
      <w:rFonts w:eastAsia="黑体"/>
      <w:kern w:val="44"/>
      <w:sz w:val="32"/>
      <w:szCs w:val="44"/>
    </w:rPr>
  </w:style>
  <w:style w:type="paragraph" w:styleId="3">
    <w:name w:val="heading 2"/>
    <w:basedOn w:val="1"/>
    <w:next w:val="1"/>
    <w:link w:val="18"/>
    <w:qFormat/>
    <w:uiPriority w:val="9"/>
    <w:pPr>
      <w:keepNext/>
      <w:keepLines/>
      <w:widowControl w:val="0"/>
      <w:numPr>
        <w:ilvl w:val="1"/>
        <w:numId w:val="1"/>
      </w:numPr>
      <w:spacing w:before="260" w:after="260" w:line="416" w:lineRule="auto"/>
      <w:jc w:val="both"/>
      <w:outlineLvl w:val="1"/>
    </w:pPr>
    <w:rPr>
      <w:rFonts w:ascii="Arial" w:hAnsi="Arial" w:eastAsia="黑体" w:cs="Times New Roman"/>
      <w:b/>
      <w:bCs/>
      <w:kern w:val="2"/>
      <w:sz w:val="32"/>
      <w:szCs w:val="32"/>
    </w:rPr>
  </w:style>
  <w:style w:type="paragraph" w:styleId="4">
    <w:name w:val="heading 3"/>
    <w:basedOn w:val="1"/>
    <w:next w:val="1"/>
    <w:link w:val="23"/>
    <w:qFormat/>
    <w:uiPriority w:val="9"/>
    <w:pPr>
      <w:keepNext/>
      <w:keepLines/>
      <w:widowControl w:val="0"/>
      <w:tabs>
        <w:tab w:val="left" w:pos="0"/>
      </w:tabs>
      <w:spacing w:before="260" w:after="260" w:line="416" w:lineRule="auto"/>
      <w:jc w:val="both"/>
      <w:outlineLvl w:val="2"/>
    </w:pPr>
    <w:rPr>
      <w:rFonts w:ascii="Times New Roman" w:hAnsi="Times New Roman" w:eastAsia="宋体" w:cs="Times New Roman"/>
      <w:b/>
      <w:bCs/>
      <w:kern w:val="2"/>
      <w:sz w:val="32"/>
      <w:szCs w:val="32"/>
    </w:rPr>
  </w:style>
  <w:style w:type="character" w:default="1" w:styleId="13">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20"/>
    <w:semiHidden/>
    <w:unhideWhenUsed/>
    <w:qFormat/>
    <w:uiPriority w:val="99"/>
  </w:style>
  <w:style w:type="paragraph" w:styleId="6">
    <w:name w:val="Balloon Text"/>
    <w:basedOn w:val="1"/>
    <w:link w:val="17"/>
    <w:semiHidden/>
    <w:unhideWhenUsed/>
    <w:qFormat/>
    <w:uiPriority w:val="99"/>
    <w:rPr>
      <w:sz w:val="18"/>
      <w:szCs w:val="18"/>
    </w:rPr>
  </w:style>
  <w:style w:type="paragraph" w:styleId="7">
    <w:name w:val="footer"/>
    <w:basedOn w:val="1"/>
    <w:link w:val="24"/>
    <w:unhideWhenUsed/>
    <w:qFormat/>
    <w:uiPriority w:val="99"/>
    <w:pPr>
      <w:tabs>
        <w:tab w:val="center" w:pos="4153"/>
        <w:tab w:val="right" w:pos="8306"/>
      </w:tabs>
      <w:snapToGrid w:val="0"/>
    </w:pPr>
    <w:rPr>
      <w:sz w:val="18"/>
      <w:szCs w:val="18"/>
    </w:rPr>
  </w:style>
  <w:style w:type="paragraph" w:styleId="8">
    <w:name w:val="header"/>
    <w:basedOn w:val="1"/>
    <w:link w:val="19"/>
    <w:unhideWhenUsed/>
    <w:qFormat/>
    <w:uiPriority w:val="99"/>
    <w:pPr>
      <w:tabs>
        <w:tab w:val="center" w:pos="4153"/>
        <w:tab w:val="right" w:pos="8306"/>
      </w:tabs>
      <w:snapToGrid w:val="0"/>
      <w:jc w:val="center"/>
    </w:pPr>
    <w:rPr>
      <w:sz w:val="18"/>
      <w:szCs w:val="18"/>
    </w:rPr>
  </w:style>
  <w:style w:type="paragraph" w:styleId="9">
    <w:name w:val="Normal (Web)"/>
    <w:basedOn w:val="1"/>
    <w:qFormat/>
    <w:uiPriority w:val="99"/>
    <w:pPr>
      <w:spacing w:before="100" w:beforeAutospacing="1" w:after="100" w:afterAutospacing="1"/>
    </w:pPr>
    <w:rPr>
      <w:rFonts w:ascii="宋体" w:hAnsi="宋体" w:eastAsia="宋体" w:cs="宋体"/>
    </w:rPr>
  </w:style>
  <w:style w:type="paragraph" w:styleId="10">
    <w:name w:val="annotation subject"/>
    <w:basedOn w:val="5"/>
    <w:next w:val="5"/>
    <w:link w:val="27"/>
    <w:semiHidden/>
    <w:unhideWhenUsed/>
    <w:qFormat/>
    <w:uiPriority w:val="99"/>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annotation reference"/>
    <w:basedOn w:val="13"/>
    <w:semiHidden/>
    <w:unhideWhenUsed/>
    <w:qFormat/>
    <w:uiPriority w:val="99"/>
    <w:rPr>
      <w:sz w:val="21"/>
      <w:szCs w:val="21"/>
    </w:rPr>
  </w:style>
  <w:style w:type="paragraph" w:customStyle="1" w:styleId="16">
    <w:name w:val="修订1"/>
    <w:hidden/>
    <w:semiHidden/>
    <w:qFormat/>
    <w:uiPriority w:val="99"/>
    <w:rPr>
      <w:rFonts w:asciiTheme="minorHAnsi" w:hAnsiTheme="minorHAnsi" w:eastAsiaTheme="minorEastAsia" w:cstheme="minorBidi"/>
      <w:sz w:val="24"/>
      <w:szCs w:val="24"/>
      <w:lang w:val="en-US" w:eastAsia="zh-CN" w:bidi="ar-SA"/>
    </w:rPr>
  </w:style>
  <w:style w:type="character" w:customStyle="1" w:styleId="17">
    <w:name w:val="批注框文本 字符"/>
    <w:basedOn w:val="13"/>
    <w:link w:val="6"/>
    <w:semiHidden/>
    <w:qFormat/>
    <w:uiPriority w:val="99"/>
    <w:rPr>
      <w:sz w:val="18"/>
      <w:szCs w:val="18"/>
    </w:rPr>
  </w:style>
  <w:style w:type="character" w:customStyle="1" w:styleId="18">
    <w:name w:val="标题 2 字符"/>
    <w:basedOn w:val="13"/>
    <w:link w:val="3"/>
    <w:qFormat/>
    <w:uiPriority w:val="9"/>
    <w:rPr>
      <w:rFonts w:ascii="Arial" w:hAnsi="Arial" w:eastAsia="黑体" w:cs="Times New Roman"/>
      <w:b/>
      <w:bCs/>
      <w:kern w:val="2"/>
      <w:sz w:val="32"/>
      <w:szCs w:val="32"/>
      <w:lang w:val="en-US"/>
    </w:rPr>
  </w:style>
  <w:style w:type="character" w:customStyle="1" w:styleId="19">
    <w:name w:val="页眉 字符"/>
    <w:basedOn w:val="13"/>
    <w:link w:val="8"/>
    <w:qFormat/>
    <w:uiPriority w:val="99"/>
    <w:rPr>
      <w:sz w:val="18"/>
      <w:szCs w:val="18"/>
    </w:rPr>
  </w:style>
  <w:style w:type="character" w:customStyle="1" w:styleId="20">
    <w:name w:val="批注文字 字符"/>
    <w:basedOn w:val="13"/>
    <w:link w:val="5"/>
    <w:semiHidden/>
    <w:qFormat/>
    <w:uiPriority w:val="99"/>
    <w:rPr>
      <w:sz w:val="24"/>
      <w:szCs w:val="24"/>
    </w:rPr>
  </w:style>
  <w:style w:type="paragraph" w:customStyle="1" w:styleId="21">
    <w:name w:val="列出段落1"/>
    <w:basedOn w:val="1"/>
    <w:qFormat/>
    <w:uiPriority w:val="34"/>
    <w:pPr>
      <w:widowControl w:val="0"/>
      <w:ind w:firstLine="420" w:firstLineChars="200"/>
      <w:jc w:val="both"/>
    </w:pPr>
    <w:rPr>
      <w:kern w:val="2"/>
      <w:sz w:val="21"/>
      <w:szCs w:val="22"/>
    </w:rPr>
  </w:style>
  <w:style w:type="paragraph" w:styleId="22">
    <w:name w:val="List Paragraph"/>
    <w:basedOn w:val="1"/>
    <w:qFormat/>
    <w:uiPriority w:val="34"/>
    <w:pPr>
      <w:spacing w:before="100" w:beforeAutospacing="1" w:after="100" w:afterAutospacing="1"/>
    </w:pPr>
    <w:rPr>
      <w:rFonts w:ascii="Times New Roman" w:hAnsi="Times New Roman" w:eastAsia="Times New Roman" w:cs="Times New Roman"/>
    </w:rPr>
  </w:style>
  <w:style w:type="character" w:customStyle="1" w:styleId="23">
    <w:name w:val="标题 3 字符"/>
    <w:basedOn w:val="13"/>
    <w:link w:val="4"/>
    <w:qFormat/>
    <w:uiPriority w:val="9"/>
    <w:rPr>
      <w:rFonts w:ascii="Times New Roman" w:hAnsi="Times New Roman" w:eastAsia="宋体" w:cs="Times New Roman"/>
      <w:b/>
      <w:bCs/>
      <w:kern w:val="2"/>
      <w:sz w:val="32"/>
      <w:szCs w:val="32"/>
      <w:lang w:val="en-US"/>
    </w:rPr>
  </w:style>
  <w:style w:type="character" w:customStyle="1" w:styleId="24">
    <w:name w:val="页脚 字符"/>
    <w:basedOn w:val="13"/>
    <w:link w:val="7"/>
    <w:qFormat/>
    <w:uiPriority w:val="99"/>
    <w:rPr>
      <w:sz w:val="18"/>
      <w:szCs w:val="18"/>
    </w:rPr>
  </w:style>
  <w:style w:type="paragraph" w:customStyle="1" w:styleId="25">
    <w:name w:val="ds-markdown-paragraph"/>
    <w:basedOn w:val="1"/>
    <w:qFormat/>
    <w:uiPriority w:val="0"/>
    <w:pPr>
      <w:spacing w:before="100" w:beforeAutospacing="1" w:after="100" w:afterAutospacing="1"/>
    </w:pPr>
    <w:rPr>
      <w:rFonts w:ascii="宋体" w:hAnsi="宋体" w:eastAsia="宋体" w:cs="宋体"/>
    </w:rPr>
  </w:style>
  <w:style w:type="paragraph" w:customStyle="1" w:styleId="26">
    <w:name w:val="Table Text"/>
    <w:basedOn w:val="1"/>
    <w:semiHidden/>
    <w:qFormat/>
    <w:uiPriority w:val="0"/>
    <w:pPr>
      <w:widowControl w:val="0"/>
      <w:jc w:val="both"/>
    </w:pPr>
    <w:rPr>
      <w:rFonts w:ascii="宋体" w:hAnsi="宋体" w:eastAsia="宋体" w:cs="宋体"/>
      <w:kern w:val="2"/>
      <w:sz w:val="25"/>
      <w:szCs w:val="25"/>
      <w:lang w:eastAsia="en-US"/>
    </w:rPr>
  </w:style>
  <w:style w:type="character" w:customStyle="1" w:styleId="27">
    <w:name w:val="批注主题 字符"/>
    <w:basedOn w:val="20"/>
    <w:link w:val="10"/>
    <w:semiHidden/>
    <w:qFormat/>
    <w:uiPriority w:val="99"/>
    <w:rPr>
      <w:b/>
      <w:bCs/>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1052</Words>
  <Characters>1116</Characters>
  <Lines>65</Lines>
  <Paragraphs>18</Paragraphs>
  <TotalTime>10</TotalTime>
  <ScaleCrop>false</ScaleCrop>
  <LinksUpToDate>false</LinksUpToDate>
  <CharactersWithSpaces>1125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2026-10-15T02:03:00Z</dcterms:created>
  <dc:creator>Administrator</dc:creator>
  <cp:lastModifiedBy>林小容</cp:lastModifiedBy>
  <dcterms:modified xsi:type="dcterms:W3CDTF">2026-10-15T08:51:09Z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eyJoZGlkIjoiZWZhZTVkNjM3ZTdkZjY4YzQ0OWVmYmYxOGYwZmI0MWYiLCJ1c2VySWQiOiI0MjQ3ODE0OTQifQ==</vt:lpwstr>
  </property>
  <property fmtid="{D5CDD505-2E9C-101B-9397-08002B2CF9AE}" pid="3" name="KSOProductBuildVer">
    <vt:lpwstr>2052-12.1.0.28505</vt:lpwstr>
  </property>
  <property fmtid="{D5CDD505-2E9C-101B-9397-08002B2CF9AE}" pid="4" name="ICV">
    <vt:lpwstr>2BBA34EA7F6F4A00B65B7C0B1DEB0BF0_12</vt:lpwstr>
  </property>
</Properties>
</file>