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jc w:val="center"/>
        <w:rPr>
          <w:rFonts w:eastAsia="楷体_GB2312"/>
          <w:b/>
          <w:sz w:val="48"/>
          <w:szCs w:val="48"/>
        </w:rPr>
      </w:pPr>
      <w:r>
        <w:rPr>
          <w:rFonts w:hint="eastAsia" w:eastAsia="楷体_GB2312"/>
          <w:b/>
          <w:sz w:val="48"/>
          <w:szCs w:val="48"/>
        </w:rPr>
        <w:t>厦门大学嘉庚学院教学楼多媒体扩音和投影设备采购项目</w:t>
      </w:r>
    </w:p>
    <w:p>
      <w:pPr>
        <w:spacing w:line="360" w:lineRule="auto"/>
        <w:jc w:val="center"/>
        <w:rPr>
          <w:rFonts w:ascii="楷体_GB2312" w:eastAsia="楷体_GB2312"/>
          <w:b/>
          <w:bCs/>
          <w:sz w:val="52"/>
          <w:szCs w:val="52"/>
        </w:rPr>
      </w:pPr>
    </w:p>
    <w:p>
      <w:pPr>
        <w:jc w:val="center"/>
        <w:rPr>
          <w:rFonts w:eastAsia="楷体_GB2312"/>
          <w:sz w:val="84"/>
        </w:rPr>
      </w:pPr>
      <w:r>
        <w:rPr>
          <w:rFonts w:hint="eastAsia" w:eastAsia="楷体_GB2312"/>
          <w:sz w:val="84"/>
        </w:rPr>
        <w:t>招</w:t>
      </w:r>
      <w:r>
        <w:rPr>
          <w:rFonts w:eastAsia="楷体_GB2312"/>
          <w:sz w:val="84"/>
        </w:rPr>
        <w:t xml:space="preserve">  </w:t>
      </w:r>
      <w:r>
        <w:rPr>
          <w:rFonts w:hint="eastAsia" w:eastAsia="楷体_GB2312"/>
          <w:sz w:val="84"/>
        </w:rPr>
        <w:t>标</w:t>
      </w:r>
      <w:r>
        <w:rPr>
          <w:rFonts w:eastAsia="楷体_GB2312"/>
          <w:sz w:val="84"/>
        </w:rPr>
        <w:t xml:space="preserve">  </w:t>
      </w:r>
      <w:r>
        <w:rPr>
          <w:rFonts w:hint="eastAsia" w:eastAsia="楷体_GB2312"/>
          <w:sz w:val="84"/>
        </w:rPr>
        <w:t>文</w:t>
      </w:r>
      <w:r>
        <w:rPr>
          <w:rFonts w:eastAsia="楷体_GB2312"/>
          <w:sz w:val="84"/>
        </w:rPr>
        <w:t xml:space="preserve">  </w:t>
      </w:r>
      <w:r>
        <w:rPr>
          <w:rFonts w:hint="eastAsia" w:eastAsia="楷体_GB2312"/>
          <w:sz w:val="84"/>
        </w:rPr>
        <w:t>件</w:t>
      </w:r>
    </w:p>
    <w:p>
      <w:pPr>
        <w:jc w:val="center"/>
        <w:rPr>
          <w:rFonts w:hint="eastAsia" w:eastAsia="宋体"/>
          <w:b/>
          <w:sz w:val="36"/>
          <w:szCs w:val="36"/>
          <w:lang w:val="en-US" w:eastAsia="zh-CN"/>
        </w:rPr>
      </w:pPr>
      <w:r>
        <w:rPr>
          <w:rFonts w:hint="eastAsia"/>
          <w:b/>
          <w:sz w:val="36"/>
          <w:szCs w:val="36"/>
        </w:rPr>
        <w:t>项目编号：</w:t>
      </w:r>
      <w:r>
        <w:rPr>
          <w:b/>
          <w:sz w:val="36"/>
          <w:szCs w:val="36"/>
        </w:rPr>
        <w:t>JGXY-202</w:t>
      </w:r>
      <w:r>
        <w:rPr>
          <w:rFonts w:hint="eastAsia"/>
          <w:b/>
          <w:sz w:val="36"/>
          <w:szCs w:val="36"/>
        </w:rPr>
        <w:t>4</w:t>
      </w:r>
      <w:r>
        <w:rPr>
          <w:b/>
          <w:sz w:val="36"/>
          <w:szCs w:val="36"/>
        </w:rPr>
        <w:t>-</w:t>
      </w:r>
      <w:r>
        <w:rPr>
          <w:rFonts w:hint="eastAsia"/>
          <w:b/>
          <w:sz w:val="36"/>
          <w:szCs w:val="36"/>
        </w:rPr>
        <w:t>015</w:t>
      </w:r>
      <w:r>
        <w:rPr>
          <w:rFonts w:hint="eastAsia"/>
          <w:b/>
          <w:sz w:val="36"/>
          <w:szCs w:val="36"/>
          <w:lang w:val="en-US" w:eastAsia="zh-CN"/>
        </w:rPr>
        <w:t>R</w:t>
      </w: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480" w:lineRule="auto"/>
        <w:ind w:left="3914" w:leftChars="1064" w:hanging="1680" w:hangingChars="525"/>
        <w:rPr>
          <w:rFonts w:eastAsia="楷体_GB2312"/>
          <w:sz w:val="32"/>
          <w:szCs w:val="32"/>
          <w:u w:val="single"/>
        </w:rPr>
      </w:pPr>
      <w:r>
        <w:rPr>
          <w:rFonts w:hint="eastAsia" w:eastAsia="楷体_GB2312"/>
          <w:sz w:val="32"/>
          <w:szCs w:val="32"/>
        </w:rPr>
        <w:t>项目名称：</w:t>
      </w:r>
      <w:r>
        <w:rPr>
          <w:rFonts w:hint="eastAsia" w:eastAsia="楷体_GB2312"/>
          <w:sz w:val="32"/>
          <w:szCs w:val="32"/>
          <w:u w:val="single"/>
        </w:rPr>
        <w:t xml:space="preserve">教学楼多媒体扩音和投影设备采购项目 </w:t>
      </w:r>
    </w:p>
    <w:p>
      <w:pPr>
        <w:spacing w:line="480" w:lineRule="auto"/>
        <w:ind w:firstLine="2160" w:firstLineChars="675"/>
        <w:rPr>
          <w:rFonts w:eastAsia="楷体_GB2312"/>
          <w:sz w:val="32"/>
          <w:szCs w:val="32"/>
        </w:rPr>
      </w:pPr>
      <w:r>
        <w:rPr>
          <w:rFonts w:hint="eastAsia" w:eastAsia="楷体_GB2312"/>
          <w:sz w:val="32"/>
          <w:szCs w:val="32"/>
        </w:rPr>
        <w:t>招</w:t>
      </w:r>
      <w:r>
        <w:rPr>
          <w:rFonts w:eastAsia="楷体_GB2312"/>
          <w:sz w:val="32"/>
          <w:szCs w:val="32"/>
        </w:rPr>
        <w:t xml:space="preserve"> </w:t>
      </w:r>
      <w:r>
        <w:rPr>
          <w:rFonts w:hint="eastAsia" w:eastAsia="楷体_GB2312"/>
          <w:sz w:val="32"/>
          <w:szCs w:val="32"/>
        </w:rPr>
        <w:t>标</w:t>
      </w:r>
      <w:r>
        <w:rPr>
          <w:rFonts w:eastAsia="楷体_GB2312"/>
          <w:sz w:val="32"/>
          <w:szCs w:val="32"/>
        </w:rPr>
        <w:t xml:space="preserve"> </w:t>
      </w:r>
      <w:r>
        <w:rPr>
          <w:rFonts w:hint="eastAsia" w:eastAsia="楷体_GB2312"/>
          <w:sz w:val="32"/>
          <w:szCs w:val="32"/>
        </w:rPr>
        <w:t>人：</w:t>
      </w:r>
      <w:r>
        <w:rPr>
          <w:rFonts w:hint="eastAsia" w:eastAsia="楷体_GB2312"/>
          <w:sz w:val="32"/>
          <w:szCs w:val="32"/>
          <w:u w:val="single"/>
        </w:rPr>
        <w:t>厦门大学嘉庚学院</w:t>
      </w:r>
      <w:r>
        <w:rPr>
          <w:rFonts w:eastAsia="楷体_GB2312"/>
          <w:sz w:val="32"/>
          <w:szCs w:val="32"/>
          <w:u w:val="single"/>
        </w:rPr>
        <w:t xml:space="preserve">           </w:t>
      </w:r>
    </w:p>
    <w:p>
      <w:pPr>
        <w:spacing w:line="480" w:lineRule="auto"/>
        <w:ind w:firstLine="2160" w:firstLineChars="675"/>
        <w:rPr>
          <w:rFonts w:eastAsia="楷体_GB2312"/>
          <w:sz w:val="32"/>
          <w:szCs w:val="32"/>
        </w:rPr>
      </w:pPr>
      <w:r>
        <w:rPr>
          <w:rFonts w:hint="eastAsia" w:eastAsia="楷体_GB2312"/>
          <w:sz w:val="32"/>
          <w:szCs w:val="32"/>
        </w:rPr>
        <w:t>地</w:t>
      </w:r>
      <w:r>
        <w:rPr>
          <w:rFonts w:eastAsia="楷体_GB2312"/>
          <w:sz w:val="32"/>
          <w:szCs w:val="32"/>
        </w:rPr>
        <w:t xml:space="preserve">    </w:t>
      </w:r>
      <w:r>
        <w:rPr>
          <w:rFonts w:hint="eastAsia" w:eastAsia="楷体_GB2312"/>
          <w:sz w:val="32"/>
          <w:szCs w:val="32"/>
        </w:rPr>
        <w:t>址：</w:t>
      </w:r>
      <w:r>
        <w:rPr>
          <w:rFonts w:hint="eastAsia" w:eastAsia="楷体_GB2312"/>
          <w:sz w:val="32"/>
          <w:szCs w:val="32"/>
          <w:u w:val="single"/>
        </w:rPr>
        <w:t>厦门大学漳州校区</w:t>
      </w:r>
      <w:r>
        <w:rPr>
          <w:rFonts w:eastAsia="楷体_GB2312"/>
          <w:sz w:val="32"/>
          <w:szCs w:val="32"/>
          <w:u w:val="single"/>
        </w:rPr>
        <w:t xml:space="preserve">           </w:t>
      </w:r>
    </w:p>
    <w:p>
      <w:pPr>
        <w:spacing w:line="480" w:lineRule="auto"/>
        <w:ind w:firstLine="2160" w:firstLineChars="675"/>
        <w:rPr>
          <w:rFonts w:eastAsia="楷体_GB2312"/>
          <w:sz w:val="32"/>
          <w:szCs w:val="32"/>
        </w:rPr>
      </w:pPr>
      <w:r>
        <w:rPr>
          <w:rFonts w:hint="eastAsia" w:eastAsia="楷体_GB2312"/>
          <w:sz w:val="32"/>
          <w:szCs w:val="32"/>
        </w:rPr>
        <w:t>日</w:t>
      </w:r>
      <w:r>
        <w:rPr>
          <w:rFonts w:eastAsia="楷体_GB2312"/>
          <w:sz w:val="32"/>
          <w:szCs w:val="32"/>
        </w:rPr>
        <w:t xml:space="preserve">    </w:t>
      </w:r>
      <w:r>
        <w:rPr>
          <w:rFonts w:hint="eastAsia" w:eastAsia="楷体_GB2312"/>
          <w:sz w:val="32"/>
          <w:szCs w:val="32"/>
        </w:rPr>
        <w:t>期：</w:t>
      </w:r>
      <w:r>
        <w:rPr>
          <w:rFonts w:eastAsia="楷体_GB2312"/>
          <w:sz w:val="32"/>
          <w:szCs w:val="32"/>
          <w:u w:val="single"/>
        </w:rPr>
        <w:t>202</w:t>
      </w:r>
      <w:r>
        <w:rPr>
          <w:rFonts w:hint="eastAsia" w:eastAsia="楷体_GB2312"/>
          <w:sz w:val="32"/>
          <w:szCs w:val="32"/>
          <w:u w:val="single"/>
          <w:lang w:val="en-US" w:eastAsia="zh-CN"/>
        </w:rPr>
        <w:t>5</w:t>
      </w:r>
      <w:r>
        <w:rPr>
          <w:rFonts w:hint="eastAsia" w:eastAsia="楷体_GB2312"/>
          <w:sz w:val="32"/>
          <w:szCs w:val="32"/>
          <w:u w:val="single"/>
        </w:rPr>
        <w:t>年</w:t>
      </w:r>
      <w:r>
        <w:rPr>
          <w:rFonts w:hint="eastAsia" w:eastAsia="楷体_GB2312"/>
          <w:sz w:val="32"/>
          <w:szCs w:val="32"/>
          <w:u w:val="single"/>
          <w:lang w:val="en-US" w:eastAsia="zh-CN"/>
        </w:rPr>
        <w:t>2</w:t>
      </w:r>
      <w:r>
        <w:rPr>
          <w:rFonts w:hint="eastAsia" w:eastAsia="楷体_GB2312"/>
          <w:sz w:val="32"/>
          <w:szCs w:val="32"/>
          <w:u w:val="single"/>
        </w:rPr>
        <w:t>月</w:t>
      </w:r>
      <w:r>
        <w:rPr>
          <w:rFonts w:eastAsia="楷体_GB2312"/>
          <w:sz w:val="32"/>
          <w:szCs w:val="32"/>
          <w:u w:val="single"/>
        </w:rPr>
        <w:t xml:space="preserve">                </w:t>
      </w:r>
    </w:p>
    <w:p>
      <w:pPr>
        <w:widowControl/>
        <w:spacing w:line="480" w:lineRule="auto"/>
        <w:jc w:val="left"/>
        <w:rPr>
          <w:rFonts w:eastAsia="楷体_GB2312"/>
          <w:sz w:val="52"/>
          <w:szCs w:val="52"/>
        </w:rPr>
        <w:sectPr>
          <w:pgSz w:w="11906" w:h="16838"/>
          <w:pgMar w:top="964" w:right="1191" w:bottom="964" w:left="1191" w:header="851" w:footer="992" w:gutter="0"/>
          <w:cols w:space="720" w:num="1"/>
          <w:docGrid w:type="lines" w:linePitch="312" w:charSpace="0"/>
        </w:sectPr>
      </w:pPr>
    </w:p>
    <w:p>
      <w:pPr>
        <w:spacing w:line="480" w:lineRule="auto"/>
        <w:jc w:val="center"/>
        <w:rPr>
          <w:rFonts w:eastAsia="楷体_GB2312"/>
          <w:sz w:val="52"/>
          <w:szCs w:val="52"/>
        </w:rPr>
      </w:pPr>
      <w:r>
        <w:rPr>
          <w:rFonts w:hint="eastAsia" w:eastAsia="楷体_GB2312"/>
          <w:sz w:val="52"/>
          <w:szCs w:val="52"/>
        </w:rPr>
        <w:t>目录</w:t>
      </w:r>
    </w:p>
    <w:p>
      <w:pPr>
        <w:pStyle w:val="9"/>
        <w:tabs>
          <w:tab w:val="left" w:pos="840"/>
          <w:tab w:val="right" w:leader="dot" w:pos="9514"/>
        </w:tabs>
        <w:rPr>
          <w:rFonts w:ascii="等线" w:hAnsi="等线" w:eastAsia="等线"/>
          <w:b w:val="0"/>
          <w:bCs w:val="0"/>
          <w:caps w:val="0"/>
          <w:sz w:val="21"/>
          <w:szCs w:val="22"/>
        </w:rPr>
      </w:pPr>
      <w:r>
        <w:rPr>
          <w:rFonts w:eastAsia="楷体_GB2312"/>
          <w:sz w:val="32"/>
          <w:szCs w:val="32"/>
          <w:u w:val="single"/>
        </w:rPr>
        <w:fldChar w:fldCharType="begin"/>
      </w:r>
      <w:r>
        <w:rPr>
          <w:rFonts w:eastAsia="楷体_GB2312"/>
          <w:sz w:val="32"/>
          <w:szCs w:val="32"/>
          <w:u w:val="single"/>
        </w:rPr>
        <w:instrText xml:space="preserve"> TOC \o "1-3" \h \z \u </w:instrText>
      </w:r>
      <w:r>
        <w:rPr>
          <w:rFonts w:eastAsia="楷体_GB2312"/>
          <w:sz w:val="32"/>
          <w:szCs w:val="32"/>
          <w:u w:val="single"/>
        </w:rPr>
        <w:fldChar w:fldCharType="separate"/>
      </w:r>
      <w:r>
        <w:fldChar w:fldCharType="begin"/>
      </w:r>
      <w:r>
        <w:instrText xml:space="preserve"> HYPERLINK \l "_Toc153463827" </w:instrText>
      </w:r>
      <w:r>
        <w:fldChar w:fldCharType="separate"/>
      </w:r>
      <w:r>
        <w:rPr>
          <w:rStyle w:val="14"/>
        </w:rPr>
        <w:t>第一章</w:t>
      </w:r>
      <w:r>
        <w:rPr>
          <w:rFonts w:ascii="等线" w:hAnsi="等线" w:eastAsia="等线"/>
          <w:b w:val="0"/>
          <w:bCs w:val="0"/>
          <w:caps w:val="0"/>
          <w:sz w:val="21"/>
          <w:szCs w:val="22"/>
        </w:rPr>
        <w:tab/>
      </w:r>
      <w:r>
        <w:rPr>
          <w:rStyle w:val="14"/>
        </w:rPr>
        <w:t>投标邀请书</w:t>
      </w:r>
      <w:r>
        <w:tab/>
      </w:r>
      <w:r>
        <w:fldChar w:fldCharType="begin"/>
      </w:r>
      <w:r>
        <w:instrText xml:space="preserve"> PAGEREF _Toc153463827 \h </w:instrText>
      </w:r>
      <w:r>
        <w:fldChar w:fldCharType="separate"/>
      </w:r>
      <w:r>
        <w:t>- 1 -</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"_Toc153463828" </w:instrText>
      </w:r>
      <w:r>
        <w:fldChar w:fldCharType="separate"/>
      </w:r>
      <w:r>
        <w:rPr>
          <w:rStyle w:val="14"/>
        </w:rPr>
        <w:t>第二章</w:t>
      </w:r>
      <w:r>
        <w:rPr>
          <w:rFonts w:ascii="等线" w:hAnsi="等线" w:eastAsia="等线"/>
          <w:b w:val="0"/>
          <w:bCs w:val="0"/>
          <w:caps w:val="0"/>
          <w:sz w:val="21"/>
          <w:szCs w:val="22"/>
        </w:rPr>
        <w:tab/>
      </w:r>
      <w:r>
        <w:rPr>
          <w:rStyle w:val="14"/>
        </w:rPr>
        <w:t>采购项目说明及要求</w:t>
      </w:r>
      <w:r>
        <w:tab/>
      </w:r>
      <w:r>
        <w:fldChar w:fldCharType="begin"/>
      </w:r>
      <w:r>
        <w:instrText xml:space="preserve"> PAGEREF _Toc153463828 \h </w:instrText>
      </w:r>
      <w:r>
        <w:fldChar w:fldCharType="separate"/>
      </w:r>
      <w:r>
        <w:t>3</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"_Toc153463829" </w:instrText>
      </w:r>
      <w:r>
        <w:fldChar w:fldCharType="separate"/>
      </w:r>
      <w:r>
        <w:rPr>
          <w:rStyle w:val="14"/>
        </w:rPr>
        <w:t>第三章</w:t>
      </w:r>
      <w:r>
        <w:rPr>
          <w:rFonts w:ascii="等线" w:hAnsi="等线" w:eastAsia="等线"/>
          <w:b w:val="0"/>
          <w:bCs w:val="0"/>
          <w:caps w:val="0"/>
          <w:sz w:val="21"/>
          <w:szCs w:val="22"/>
        </w:rPr>
        <w:tab/>
      </w:r>
      <w:r>
        <w:rPr>
          <w:rStyle w:val="14"/>
        </w:rPr>
        <w:t>投标人须知</w:t>
      </w:r>
      <w:r>
        <w:tab/>
      </w:r>
      <w:r>
        <w:fldChar w:fldCharType="begin"/>
      </w:r>
      <w:r>
        <w:instrText xml:space="preserve"> PAGEREF _Toc153463829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"_Toc153463830" </w:instrText>
      </w:r>
      <w:r>
        <w:fldChar w:fldCharType="separate"/>
      </w:r>
      <w:r>
        <w:rPr>
          <w:rStyle w:val="14"/>
        </w:rPr>
        <w:t>第一节</w:t>
      </w:r>
      <w:r>
        <w:rPr>
          <w:rFonts w:ascii="等线" w:hAnsi="等线" w:eastAsia="等线"/>
          <w:smallCaps w:val="0"/>
          <w:sz w:val="21"/>
          <w:szCs w:val="22"/>
        </w:rPr>
        <w:tab/>
      </w:r>
      <w:r>
        <w:rPr>
          <w:rStyle w:val="14"/>
        </w:rPr>
        <w:t>说明</w:t>
      </w:r>
      <w:r>
        <w:tab/>
      </w:r>
      <w:r>
        <w:fldChar w:fldCharType="begin"/>
      </w:r>
      <w:r>
        <w:instrText xml:space="preserve"> PAGEREF _Toc153463830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"_Toc153463831" </w:instrText>
      </w:r>
      <w:r>
        <w:fldChar w:fldCharType="separate"/>
      </w:r>
      <w:r>
        <w:rPr>
          <w:rStyle w:val="14"/>
        </w:rPr>
        <w:t>第二节</w:t>
      </w:r>
      <w:r>
        <w:rPr>
          <w:rFonts w:ascii="等线" w:hAnsi="等线" w:eastAsia="等线"/>
          <w:smallCaps w:val="0"/>
          <w:sz w:val="21"/>
          <w:szCs w:val="22"/>
        </w:rPr>
        <w:tab/>
      </w:r>
      <w:r>
        <w:rPr>
          <w:rStyle w:val="14"/>
        </w:rPr>
        <w:t>招标文件说明</w:t>
      </w:r>
      <w:r>
        <w:tab/>
      </w:r>
      <w:r>
        <w:fldChar w:fldCharType="begin"/>
      </w:r>
      <w:r>
        <w:instrText xml:space="preserve"> PAGEREF _Toc153463831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"_Toc153463832" </w:instrText>
      </w:r>
      <w:r>
        <w:fldChar w:fldCharType="separate"/>
      </w:r>
      <w:r>
        <w:rPr>
          <w:rStyle w:val="14"/>
        </w:rPr>
        <w:t>第三节</w:t>
      </w:r>
      <w:r>
        <w:rPr>
          <w:rFonts w:ascii="等线" w:hAnsi="等线" w:eastAsia="等线"/>
          <w:smallCaps w:val="0"/>
          <w:sz w:val="21"/>
          <w:szCs w:val="22"/>
        </w:rPr>
        <w:tab/>
      </w:r>
      <w:r>
        <w:rPr>
          <w:rStyle w:val="14"/>
        </w:rPr>
        <w:t>投标文件的编写</w:t>
      </w:r>
      <w:r>
        <w:tab/>
      </w:r>
      <w:r>
        <w:fldChar w:fldCharType="begin"/>
      </w:r>
      <w:r>
        <w:instrText xml:space="preserve"> PAGEREF _Toc153463832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"_Toc153463833" </w:instrText>
      </w:r>
      <w:r>
        <w:fldChar w:fldCharType="separate"/>
      </w:r>
      <w:r>
        <w:rPr>
          <w:rStyle w:val="14"/>
        </w:rPr>
        <w:t>第四节</w:t>
      </w:r>
      <w:r>
        <w:rPr>
          <w:rFonts w:ascii="等线" w:hAnsi="等线" w:eastAsia="等线"/>
          <w:smallCaps w:val="0"/>
          <w:sz w:val="21"/>
          <w:szCs w:val="22"/>
        </w:rPr>
        <w:tab/>
      </w:r>
      <w:r>
        <w:rPr>
          <w:rStyle w:val="14"/>
        </w:rPr>
        <w:t>投标文件的递交</w:t>
      </w:r>
      <w:r>
        <w:tab/>
      </w:r>
      <w:r>
        <w:fldChar w:fldCharType="begin"/>
      </w:r>
      <w:r>
        <w:instrText xml:space="preserve"> PAGEREF _Toc153463833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"_Toc153463834" </w:instrText>
      </w:r>
      <w:r>
        <w:fldChar w:fldCharType="separate"/>
      </w:r>
      <w:r>
        <w:rPr>
          <w:rStyle w:val="14"/>
        </w:rPr>
        <w:t>第五节</w:t>
      </w:r>
      <w:r>
        <w:rPr>
          <w:rFonts w:ascii="等线" w:hAnsi="等线" w:eastAsia="等线"/>
          <w:smallCaps w:val="0"/>
          <w:sz w:val="21"/>
          <w:szCs w:val="22"/>
        </w:rPr>
        <w:tab/>
      </w:r>
      <w:r>
        <w:rPr>
          <w:rStyle w:val="14"/>
        </w:rPr>
        <w:t>开标和评标</w:t>
      </w:r>
      <w:r>
        <w:tab/>
      </w:r>
      <w:r>
        <w:fldChar w:fldCharType="begin"/>
      </w:r>
      <w:r>
        <w:instrText xml:space="preserve"> PAGEREF _Toc153463834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"_Toc153463835" </w:instrText>
      </w:r>
      <w:r>
        <w:fldChar w:fldCharType="separate"/>
      </w:r>
      <w:r>
        <w:rPr>
          <w:rStyle w:val="14"/>
        </w:rPr>
        <w:t>第六节</w:t>
      </w:r>
      <w:r>
        <w:rPr>
          <w:rFonts w:ascii="等线" w:hAnsi="等线" w:eastAsia="等线"/>
          <w:smallCaps w:val="0"/>
          <w:sz w:val="21"/>
          <w:szCs w:val="22"/>
        </w:rPr>
        <w:tab/>
      </w:r>
      <w:r>
        <w:rPr>
          <w:rStyle w:val="14"/>
        </w:rPr>
        <w:t>定标</w:t>
      </w:r>
      <w:r>
        <w:tab/>
      </w:r>
      <w:r>
        <w:fldChar w:fldCharType="begin"/>
      </w:r>
      <w:r>
        <w:instrText xml:space="preserve"> PAGEREF _Toc153463835 \h </w:instrText>
      </w:r>
      <w:r>
        <w:fldChar w:fldCharType="separate"/>
      </w:r>
      <w:r>
        <w:t>17</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"_Toc153463836" </w:instrText>
      </w:r>
      <w:r>
        <w:fldChar w:fldCharType="separate"/>
      </w:r>
      <w:r>
        <w:rPr>
          <w:rStyle w:val="14"/>
        </w:rPr>
        <w:t>第四章</w:t>
      </w:r>
      <w:r>
        <w:rPr>
          <w:rFonts w:ascii="等线" w:hAnsi="等线" w:eastAsia="等线"/>
          <w:b w:val="0"/>
          <w:bCs w:val="0"/>
          <w:caps w:val="0"/>
          <w:sz w:val="21"/>
          <w:szCs w:val="22"/>
        </w:rPr>
        <w:tab/>
      </w:r>
      <w:r>
        <w:rPr>
          <w:rStyle w:val="14"/>
        </w:rPr>
        <w:t>投标文件格式</w:t>
      </w:r>
      <w:r>
        <w:tab/>
      </w:r>
      <w:r>
        <w:fldChar w:fldCharType="begin"/>
      </w:r>
      <w:r>
        <w:instrText xml:space="preserve"> PAGEREF _Toc153463836 \h </w:instrText>
      </w:r>
      <w:r>
        <w:fldChar w:fldCharType="separate"/>
      </w:r>
      <w:r>
        <w:t>18</w:t>
      </w:r>
      <w:r>
        <w:fldChar w:fldCharType="end"/>
      </w:r>
      <w:r>
        <w:fldChar w:fldCharType="end"/>
      </w:r>
    </w:p>
    <w:p>
      <w:pPr>
        <w:spacing w:line="480" w:lineRule="auto"/>
        <w:rPr>
          <w:rFonts w:eastAsia="楷体_GB2312"/>
          <w:sz w:val="32"/>
          <w:szCs w:val="32"/>
          <w:u w:val="single"/>
        </w:rPr>
      </w:pPr>
      <w:r>
        <w:rPr>
          <w:rFonts w:eastAsia="楷体_GB2312"/>
          <w:szCs w:val="32"/>
          <w:u w:val="single"/>
        </w:rPr>
        <w:fldChar w:fldCharType="end"/>
      </w:r>
    </w:p>
    <w:p>
      <w:pPr>
        <w:widowControl/>
        <w:spacing w:line="480" w:lineRule="auto"/>
        <w:jc w:val="left"/>
        <w:rPr>
          <w:rFonts w:eastAsia="楷体_GB2312"/>
          <w:sz w:val="32"/>
          <w:szCs w:val="32"/>
          <w:u w:val="single"/>
        </w:rPr>
        <w:sectPr>
          <w:footerReference r:id="rId3" w:type="default"/>
          <w:pgSz w:w="11906" w:h="16838"/>
          <w:pgMar w:top="964" w:right="1191" w:bottom="964" w:left="1191" w:header="851" w:footer="992" w:gutter="0"/>
          <w:pgNumType w:start="1"/>
          <w:cols w:space="720" w:num="1"/>
          <w:docGrid w:type="lines" w:linePitch="312" w:charSpace="0"/>
        </w:sectPr>
      </w:pPr>
    </w:p>
    <w:p>
      <w:pPr>
        <w:pStyle w:val="2"/>
        <w:numPr>
          <w:ilvl w:val="0"/>
          <w:numId w:val="1"/>
        </w:numPr>
        <w:jc w:val="center"/>
      </w:pPr>
      <w:bookmarkStart w:id="0" w:name="_Toc153463827"/>
      <w:r>
        <w:rPr>
          <w:rFonts w:hint="eastAsia"/>
        </w:rPr>
        <w:t>投标邀请书</w:t>
      </w:r>
      <w:bookmarkEnd w:id="0"/>
    </w:p>
    <w:p>
      <w:pPr>
        <w:spacing w:line="360" w:lineRule="auto"/>
        <w:ind w:left="420" w:firstLine="480" w:firstLineChars="200"/>
        <w:rPr>
          <w:rFonts w:ascii="宋体"/>
          <w:sz w:val="24"/>
        </w:rPr>
      </w:pPr>
      <w:r>
        <w:rPr>
          <w:rFonts w:hint="eastAsia"/>
          <w:sz w:val="24"/>
        </w:rPr>
        <w:t>厦门大学嘉庚学院资产与后勤管理部受我校招标领导小组的委托，以公开招标形式采购一批多媒体设备，欢迎具备相应资格条件的供应商参与投标。</w:t>
      </w:r>
    </w:p>
    <w:p>
      <w:pPr>
        <w:numPr>
          <w:ilvl w:val="1"/>
          <w:numId w:val="1"/>
        </w:numPr>
        <w:spacing w:line="360" w:lineRule="auto"/>
        <w:ind w:left="420" w:firstLine="420"/>
        <w:rPr>
          <w:sz w:val="24"/>
        </w:rPr>
      </w:pPr>
      <w:r>
        <w:rPr>
          <w:rFonts w:hint="eastAsia"/>
          <w:sz w:val="24"/>
        </w:rPr>
        <w:t>采购编号：</w:t>
      </w:r>
      <w:bookmarkStart w:id="1" w:name="_Hlk129091449"/>
      <w:r>
        <w:rPr>
          <w:sz w:val="24"/>
        </w:rPr>
        <w:t>JGXY-202</w:t>
      </w:r>
      <w:r>
        <w:rPr>
          <w:rFonts w:hint="eastAsia"/>
          <w:sz w:val="24"/>
        </w:rPr>
        <w:t>4</w:t>
      </w:r>
      <w:r>
        <w:rPr>
          <w:sz w:val="24"/>
        </w:rPr>
        <w:t>-</w:t>
      </w:r>
      <w:r>
        <w:rPr>
          <w:rFonts w:hint="eastAsia"/>
          <w:sz w:val="24"/>
        </w:rPr>
        <w:t>015</w:t>
      </w:r>
      <w:r>
        <w:rPr>
          <w:rFonts w:hint="eastAsia"/>
          <w:sz w:val="24"/>
          <w:lang w:val="en-US" w:eastAsia="zh-CN"/>
        </w:rPr>
        <w:t>R</w:t>
      </w:r>
    </w:p>
    <w:p>
      <w:pPr>
        <w:numPr>
          <w:ilvl w:val="1"/>
          <w:numId w:val="1"/>
        </w:numPr>
        <w:spacing w:line="360" w:lineRule="auto"/>
        <w:ind w:left="420" w:firstLine="420"/>
        <w:rPr>
          <w:sz w:val="24"/>
        </w:rPr>
      </w:pPr>
      <w:r>
        <w:rPr>
          <w:rFonts w:hint="eastAsia"/>
          <w:sz w:val="24"/>
        </w:rPr>
        <w:t>项目名称：厦门大学嘉庚学院教学楼多媒体扩音和投影设备采购项目</w:t>
      </w:r>
    </w:p>
    <w:bookmarkEnd w:id="1"/>
    <w:p>
      <w:pPr>
        <w:numPr>
          <w:ilvl w:val="1"/>
          <w:numId w:val="1"/>
        </w:numPr>
        <w:spacing w:line="360" w:lineRule="auto"/>
        <w:ind w:left="420" w:firstLine="420"/>
        <w:rPr>
          <w:sz w:val="24"/>
        </w:rPr>
      </w:pPr>
      <w:r>
        <w:rPr>
          <w:rFonts w:hint="eastAsia"/>
          <w:sz w:val="24"/>
        </w:rPr>
        <w:t>供货地点：厦门大学漳州校区</w:t>
      </w:r>
    </w:p>
    <w:p>
      <w:pPr>
        <w:numPr>
          <w:ilvl w:val="1"/>
          <w:numId w:val="1"/>
        </w:numPr>
        <w:spacing w:line="360" w:lineRule="auto"/>
        <w:ind w:left="420" w:firstLine="420"/>
        <w:rPr>
          <w:sz w:val="24"/>
        </w:rPr>
      </w:pPr>
      <w:r>
        <w:rPr>
          <w:rFonts w:hint="eastAsia"/>
          <w:sz w:val="24"/>
        </w:rPr>
        <w:t>交付期：合同签订后30个日历日内到货并安装调试完毕</w:t>
      </w:r>
    </w:p>
    <w:p>
      <w:pPr>
        <w:numPr>
          <w:ilvl w:val="1"/>
          <w:numId w:val="1"/>
        </w:numPr>
        <w:spacing w:line="360" w:lineRule="auto"/>
        <w:ind w:left="420" w:firstLine="420"/>
        <w:rPr>
          <w:sz w:val="24"/>
        </w:rPr>
      </w:pPr>
      <w:r>
        <w:rPr>
          <w:rFonts w:hint="eastAsia"/>
          <w:sz w:val="24"/>
        </w:rPr>
        <w:t>参与本次投标的报名时间：从发标日起，凡参加投标的供应商应于</w:t>
      </w:r>
      <w:r>
        <w:rPr>
          <w:sz w:val="24"/>
        </w:rPr>
        <w:t>202</w:t>
      </w:r>
      <w:r>
        <w:rPr>
          <w:rFonts w:hint="eastAsia"/>
          <w:sz w:val="24"/>
        </w:rPr>
        <w:t>5年</w:t>
      </w:r>
      <w:r>
        <w:rPr>
          <w:rFonts w:hint="eastAsia"/>
          <w:sz w:val="24"/>
          <w:lang w:val="en-US" w:eastAsia="zh-CN"/>
        </w:rPr>
        <w:t>3</w:t>
      </w:r>
      <w:r>
        <w:rPr>
          <w:rFonts w:hint="eastAsia"/>
          <w:sz w:val="24"/>
        </w:rPr>
        <w:t>月</w:t>
      </w:r>
      <w:r>
        <w:rPr>
          <w:rFonts w:hint="eastAsia"/>
          <w:sz w:val="24"/>
          <w:lang w:val="en-US" w:eastAsia="zh-CN"/>
        </w:rPr>
        <w:t>3</w:t>
      </w:r>
      <w:r>
        <w:rPr>
          <w:rFonts w:hint="eastAsia"/>
          <w:sz w:val="24"/>
        </w:rPr>
        <w:t>日</w:t>
      </w:r>
      <w:r>
        <w:rPr>
          <w:sz w:val="24"/>
        </w:rPr>
        <w:t>18</w:t>
      </w:r>
      <w:r>
        <w:rPr>
          <w:rFonts w:hint="eastAsia"/>
          <w:sz w:val="24"/>
        </w:rPr>
        <w:t>：</w:t>
      </w:r>
      <w:r>
        <w:rPr>
          <w:sz w:val="24"/>
        </w:rPr>
        <w:t>00</w:t>
      </w:r>
      <w:r>
        <w:rPr>
          <w:rFonts w:hint="eastAsia"/>
          <w:sz w:val="24"/>
        </w:rPr>
        <w:t>前，以书面方式（传真或快递）向厦门大学嘉庚学院资产与后勤管理部报名（</w:t>
      </w:r>
      <w:r>
        <w:rPr>
          <w:rFonts w:hint="eastAsia" w:ascii="宋体" w:hAnsi="宋体"/>
          <w:sz w:val="24"/>
        </w:rPr>
        <w:t>参加投标的报名确认单、企业法人营业执照复印件、人民银行批准的基本账户开户许可证，并加盖公司公章）</w:t>
      </w:r>
      <w:r>
        <w:rPr>
          <w:rFonts w:hint="eastAsia"/>
          <w:sz w:val="24"/>
        </w:rPr>
        <w:t>，以确认投标资格。</w:t>
      </w:r>
    </w:p>
    <w:p>
      <w:pPr>
        <w:numPr>
          <w:ilvl w:val="1"/>
          <w:numId w:val="1"/>
        </w:numPr>
        <w:spacing w:line="360" w:lineRule="auto"/>
        <w:ind w:left="420" w:firstLine="420"/>
        <w:rPr>
          <w:rFonts w:ascii="宋体" w:hAnsi="宋体"/>
          <w:sz w:val="24"/>
        </w:rPr>
      </w:pPr>
      <w:r>
        <w:rPr>
          <w:rFonts w:hint="eastAsia" w:ascii="宋体" w:hAnsi="宋体"/>
          <w:sz w:val="24"/>
        </w:rPr>
        <w:t>投标人应于</w:t>
      </w:r>
      <w:r>
        <w:rPr>
          <w:rFonts w:hint="eastAsia" w:ascii="宋体" w:hAnsi="宋体"/>
          <w:b/>
          <w:bCs/>
          <w:color w:val="FF0000"/>
          <w:sz w:val="24"/>
        </w:rPr>
        <w:t>2025年</w:t>
      </w:r>
      <w:r>
        <w:rPr>
          <w:rFonts w:hint="eastAsia" w:ascii="宋体" w:hAnsi="宋体"/>
          <w:b/>
          <w:bCs/>
          <w:color w:val="FF0000"/>
          <w:sz w:val="24"/>
          <w:lang w:val="en-US" w:eastAsia="zh-CN"/>
        </w:rPr>
        <w:t>3</w:t>
      </w:r>
      <w:r>
        <w:rPr>
          <w:rFonts w:hint="eastAsia" w:ascii="宋体" w:hAnsi="宋体"/>
          <w:b/>
          <w:bCs/>
          <w:color w:val="FF0000"/>
          <w:sz w:val="24"/>
        </w:rPr>
        <w:t>月1</w:t>
      </w:r>
      <w:r>
        <w:rPr>
          <w:rFonts w:hint="eastAsia" w:ascii="宋体" w:hAnsi="宋体"/>
          <w:b/>
          <w:bCs/>
          <w:color w:val="FF0000"/>
          <w:sz w:val="24"/>
          <w:lang w:val="en-US" w:eastAsia="zh-CN"/>
        </w:rPr>
        <w:t>3</w:t>
      </w:r>
      <w:r>
        <w:rPr>
          <w:rFonts w:hint="eastAsia" w:ascii="宋体" w:hAnsi="宋体"/>
          <w:b/>
          <w:bCs/>
          <w:color w:val="FF0000"/>
          <w:sz w:val="24"/>
        </w:rPr>
        <w:t>日上午09:30前</w:t>
      </w:r>
      <w:r>
        <w:rPr>
          <w:rFonts w:hint="eastAsia" w:ascii="宋体" w:hAnsi="宋体"/>
          <w:sz w:val="24"/>
        </w:rPr>
        <w:t>（北京时间，下同）将密封并盖印章的投标文件送至厦门大学漳州校区主楼3号楼909会议室。我部将于2025年</w:t>
      </w:r>
      <w:r>
        <w:rPr>
          <w:rFonts w:hint="eastAsia" w:ascii="宋体" w:hAnsi="宋体"/>
          <w:sz w:val="24"/>
          <w:lang w:val="en-US" w:eastAsia="zh-CN"/>
        </w:rPr>
        <w:t>3</w:t>
      </w:r>
      <w:r>
        <w:rPr>
          <w:rFonts w:hint="eastAsia" w:ascii="宋体" w:hAnsi="宋体"/>
          <w:sz w:val="24"/>
        </w:rPr>
        <w:t>月1</w:t>
      </w:r>
      <w:r>
        <w:rPr>
          <w:rFonts w:hint="eastAsia" w:ascii="宋体" w:hAnsi="宋体"/>
          <w:sz w:val="24"/>
          <w:lang w:val="en-US" w:eastAsia="zh-CN"/>
        </w:rPr>
        <w:t>3</w:t>
      </w:r>
      <w:r>
        <w:rPr>
          <w:rFonts w:hint="eastAsia" w:ascii="宋体" w:hAnsi="宋体"/>
          <w:sz w:val="24"/>
        </w:rPr>
        <w:t>日上午09:30在厦门大学漳州校区主楼3号楼909会议室开标。</w:t>
      </w:r>
    </w:p>
    <w:p>
      <w:pPr>
        <w:numPr>
          <w:ilvl w:val="1"/>
          <w:numId w:val="1"/>
        </w:numPr>
        <w:spacing w:line="360" w:lineRule="auto"/>
        <w:ind w:left="420" w:firstLine="420"/>
        <w:rPr>
          <w:b/>
          <w:bCs/>
          <w:sz w:val="24"/>
        </w:rPr>
      </w:pPr>
      <w:r>
        <w:rPr>
          <w:rFonts w:hint="eastAsia"/>
          <w:sz w:val="24"/>
        </w:rPr>
        <w:t>招标会现场的各投标方代表应为投标文件中“法定代表人授权书”中的被授权人，</w:t>
      </w:r>
      <w:r>
        <w:rPr>
          <w:rFonts w:hint="eastAsia"/>
          <w:b/>
          <w:bCs/>
          <w:sz w:val="24"/>
        </w:rPr>
        <w:t>并现场提交法定代表人授权书、身份复印件、投标保证金的银行转账回执单，身份证原件备查。</w:t>
      </w:r>
    </w:p>
    <w:p>
      <w:pPr>
        <w:numPr>
          <w:ilvl w:val="1"/>
          <w:numId w:val="1"/>
        </w:numPr>
        <w:spacing w:line="360" w:lineRule="auto"/>
        <w:ind w:left="420" w:firstLine="420"/>
        <w:rPr>
          <w:sz w:val="24"/>
        </w:rPr>
      </w:pPr>
      <w:r>
        <w:rPr>
          <w:rFonts w:hint="eastAsia"/>
          <w:sz w:val="24"/>
        </w:rPr>
        <w:t>投标方应于</w:t>
      </w:r>
      <w:r>
        <w:rPr>
          <w:sz w:val="24"/>
        </w:rPr>
        <w:t>202</w:t>
      </w:r>
      <w:r>
        <w:rPr>
          <w:rFonts w:hint="eastAsia"/>
          <w:sz w:val="24"/>
        </w:rPr>
        <w:t>5年</w:t>
      </w:r>
      <w:r>
        <w:rPr>
          <w:rFonts w:hint="eastAsia"/>
          <w:sz w:val="24"/>
          <w:lang w:val="en-US" w:eastAsia="zh-CN"/>
        </w:rPr>
        <w:t>3</w:t>
      </w:r>
      <w:r>
        <w:rPr>
          <w:rFonts w:hint="eastAsia"/>
          <w:sz w:val="24"/>
        </w:rPr>
        <w:t>月</w:t>
      </w:r>
      <w:r>
        <w:rPr>
          <w:rFonts w:hint="eastAsia"/>
          <w:sz w:val="24"/>
          <w:lang w:val="en-US" w:eastAsia="zh-CN"/>
        </w:rPr>
        <w:t>4</w:t>
      </w:r>
      <w:r>
        <w:rPr>
          <w:rFonts w:hint="eastAsia"/>
          <w:sz w:val="24"/>
        </w:rPr>
        <w:t>日</w:t>
      </w:r>
      <w:r>
        <w:rPr>
          <w:sz w:val="24"/>
        </w:rPr>
        <w:t>17</w:t>
      </w:r>
      <w:r>
        <w:rPr>
          <w:rFonts w:hint="eastAsia"/>
          <w:sz w:val="24"/>
        </w:rPr>
        <w:t>：</w:t>
      </w:r>
      <w:r>
        <w:rPr>
          <w:sz w:val="24"/>
        </w:rPr>
        <w:t>00</w:t>
      </w:r>
      <w:r>
        <w:rPr>
          <w:rFonts w:hint="eastAsia"/>
          <w:sz w:val="24"/>
        </w:rPr>
        <w:t>前，以银行转账的方式向我校缴纳投标保证金，金额为人民币</w:t>
      </w:r>
      <w:r>
        <w:rPr>
          <w:rFonts w:hint="eastAsia"/>
          <w:b/>
          <w:sz w:val="24"/>
          <w:u w:val="single"/>
        </w:rPr>
        <w:t>贰万</w:t>
      </w:r>
      <w:r>
        <w:rPr>
          <w:rFonts w:hint="eastAsia"/>
          <w:b/>
          <w:bCs/>
          <w:sz w:val="24"/>
          <w:u w:val="single"/>
        </w:rPr>
        <w:t>圆</w:t>
      </w:r>
      <w:r>
        <w:rPr>
          <w:rFonts w:hint="eastAsia"/>
          <w:sz w:val="24"/>
        </w:rPr>
        <w:t>整。并于</w:t>
      </w:r>
      <w:r>
        <w:rPr>
          <w:sz w:val="24"/>
        </w:rPr>
        <w:t>202</w:t>
      </w:r>
      <w:r>
        <w:rPr>
          <w:rFonts w:hint="eastAsia"/>
          <w:sz w:val="24"/>
        </w:rPr>
        <w:t>5年</w:t>
      </w:r>
      <w:r>
        <w:rPr>
          <w:rFonts w:hint="eastAsia"/>
          <w:sz w:val="24"/>
          <w:lang w:val="en-US" w:eastAsia="zh-CN"/>
        </w:rPr>
        <w:t>3</w:t>
      </w:r>
      <w:r>
        <w:rPr>
          <w:rFonts w:hint="eastAsia"/>
          <w:sz w:val="24"/>
        </w:rPr>
        <w:t>月</w:t>
      </w:r>
      <w:r>
        <w:rPr>
          <w:rFonts w:hint="eastAsia" w:ascii="宋体" w:hAnsi="宋体"/>
          <w:bCs/>
          <w:sz w:val="24"/>
        </w:rPr>
        <w:t>1</w:t>
      </w:r>
      <w:r>
        <w:rPr>
          <w:rFonts w:hint="eastAsia" w:ascii="宋体" w:hAnsi="宋体"/>
          <w:bCs/>
          <w:sz w:val="24"/>
          <w:lang w:val="en-US" w:eastAsia="zh-CN"/>
        </w:rPr>
        <w:t>3</w:t>
      </w:r>
      <w:r>
        <w:rPr>
          <w:rFonts w:hint="eastAsia"/>
          <w:sz w:val="24"/>
        </w:rPr>
        <w:t>日上午9：</w:t>
      </w:r>
      <w:r>
        <w:rPr>
          <w:sz w:val="24"/>
        </w:rPr>
        <w:t>30</w:t>
      </w:r>
      <w:r>
        <w:rPr>
          <w:rFonts w:hint="eastAsia"/>
          <w:sz w:val="24"/>
        </w:rPr>
        <w:t>前，将投标保证金的银行转账回执单交开标现场工作人员以确认投标资格。未提交的视为未对招标文件做出实质性响应，将取消投标资格。</w:t>
      </w:r>
    </w:p>
    <w:p>
      <w:pPr>
        <w:spacing w:line="360" w:lineRule="auto"/>
        <w:ind w:left="420" w:firstLine="480" w:firstLineChars="200"/>
        <w:rPr>
          <w:sz w:val="24"/>
        </w:rPr>
      </w:pPr>
      <w:r>
        <w:rPr>
          <w:rFonts w:hint="eastAsia"/>
          <w:sz w:val="24"/>
        </w:rPr>
        <w:t>收款单位名称：厦门大学嘉庚学院</w:t>
      </w:r>
    </w:p>
    <w:p>
      <w:pPr>
        <w:spacing w:line="360" w:lineRule="auto"/>
        <w:ind w:left="420" w:firstLine="480" w:firstLineChars="200"/>
        <w:rPr>
          <w:sz w:val="24"/>
        </w:rPr>
      </w:pPr>
      <w:r>
        <w:rPr>
          <w:rFonts w:hint="eastAsia"/>
          <w:sz w:val="24"/>
        </w:rPr>
        <w:t>开户行：中行龙海支行</w:t>
      </w:r>
    </w:p>
    <w:p>
      <w:pPr>
        <w:spacing w:line="360" w:lineRule="auto"/>
        <w:ind w:left="420" w:firstLine="480" w:firstLineChars="200"/>
        <w:rPr>
          <w:sz w:val="24"/>
        </w:rPr>
      </w:pPr>
      <w:r>
        <w:rPr>
          <w:rFonts w:hint="eastAsia"/>
          <w:sz w:val="24"/>
        </w:rPr>
        <w:t>账</w:t>
      </w:r>
      <w:r>
        <w:rPr>
          <w:sz w:val="24"/>
        </w:rPr>
        <w:t xml:space="preserve">  </w:t>
      </w:r>
      <w:r>
        <w:rPr>
          <w:rFonts w:hint="eastAsia"/>
          <w:sz w:val="24"/>
        </w:rPr>
        <w:t>号：</w:t>
      </w:r>
      <w:r>
        <w:rPr>
          <w:sz w:val="24"/>
        </w:rPr>
        <w:t>4091 5837 0458</w:t>
      </w:r>
    </w:p>
    <w:p>
      <w:pPr>
        <w:spacing w:line="360" w:lineRule="auto"/>
        <w:ind w:left="420" w:firstLine="480" w:firstLineChars="200"/>
        <w:rPr>
          <w:sz w:val="24"/>
        </w:rPr>
      </w:pPr>
      <w:r>
        <w:rPr>
          <w:rFonts w:hint="eastAsia"/>
          <w:sz w:val="24"/>
        </w:rPr>
        <w:t>注</w:t>
      </w:r>
      <w:r>
        <w:rPr>
          <w:sz w:val="24"/>
        </w:rPr>
        <w:t xml:space="preserve">  </w:t>
      </w:r>
      <w:r>
        <w:rPr>
          <w:rFonts w:hint="eastAsia"/>
          <w:sz w:val="24"/>
        </w:rPr>
        <w:t>意：转款时，请在进账单据中注明投标保证金、投标项目名称。</w:t>
      </w:r>
    </w:p>
    <w:p>
      <w:pPr>
        <w:numPr>
          <w:ilvl w:val="1"/>
          <w:numId w:val="1"/>
        </w:numPr>
        <w:spacing w:line="360" w:lineRule="auto"/>
        <w:ind w:left="420" w:firstLine="420"/>
        <w:rPr>
          <w:sz w:val="24"/>
        </w:rPr>
      </w:pPr>
      <w:r>
        <w:rPr>
          <w:rFonts w:hint="eastAsia"/>
          <w:sz w:val="24"/>
        </w:rPr>
        <w:t>凡对本批招标提出询问，请在</w:t>
      </w:r>
      <w:r>
        <w:rPr>
          <w:sz w:val="24"/>
        </w:rPr>
        <w:t>202</w:t>
      </w:r>
      <w:r>
        <w:rPr>
          <w:rFonts w:hint="eastAsia"/>
          <w:sz w:val="24"/>
        </w:rPr>
        <w:t>5年</w:t>
      </w:r>
      <w:r>
        <w:rPr>
          <w:rFonts w:hint="eastAsia"/>
          <w:sz w:val="24"/>
          <w:lang w:val="en-US" w:eastAsia="zh-CN"/>
        </w:rPr>
        <w:t>3</w:t>
      </w:r>
      <w:r>
        <w:rPr>
          <w:rFonts w:hint="eastAsia"/>
          <w:sz w:val="24"/>
        </w:rPr>
        <w:t>月</w:t>
      </w:r>
      <w:r>
        <w:rPr>
          <w:rFonts w:hint="eastAsia"/>
          <w:sz w:val="24"/>
          <w:lang w:val="en-US" w:eastAsia="zh-CN"/>
        </w:rPr>
        <w:t>3</w:t>
      </w:r>
      <w:r>
        <w:rPr>
          <w:rFonts w:hint="eastAsia"/>
          <w:sz w:val="24"/>
        </w:rPr>
        <w:t>日</w:t>
      </w:r>
      <w:r>
        <w:rPr>
          <w:sz w:val="24"/>
        </w:rPr>
        <w:t>18:00</w:t>
      </w:r>
      <w:r>
        <w:rPr>
          <w:rFonts w:hint="eastAsia"/>
          <w:sz w:val="24"/>
        </w:rPr>
        <w:t>之前以信函、邮件形式，与厦门大学嘉庚学院资产与后勤管理部联系。</w:t>
      </w:r>
    </w:p>
    <w:p>
      <w:pPr>
        <w:numPr>
          <w:ilvl w:val="1"/>
          <w:numId w:val="1"/>
        </w:numPr>
        <w:spacing w:line="360" w:lineRule="auto"/>
        <w:ind w:left="420" w:firstLine="420"/>
        <w:rPr>
          <w:color w:val="FF0000"/>
          <w:sz w:val="24"/>
        </w:rPr>
      </w:pPr>
      <w:r>
        <w:rPr>
          <w:rFonts w:hint="eastAsia"/>
          <w:color w:val="FF0000"/>
          <w:sz w:val="24"/>
        </w:rPr>
        <w:t>投标单位报名通过且按要求交纳投标保证金后，招标方将寄出一份投标确认函，此份投标确认函的原件需放置于投标文件</w:t>
      </w:r>
      <w:r>
        <w:rPr>
          <w:rFonts w:hint="eastAsia"/>
          <w:b/>
          <w:bCs/>
          <w:color w:val="FF0000"/>
          <w:sz w:val="24"/>
        </w:rPr>
        <w:t>正本</w:t>
      </w:r>
      <w:r>
        <w:rPr>
          <w:rFonts w:hint="eastAsia"/>
          <w:color w:val="FF0000"/>
          <w:sz w:val="24"/>
        </w:rPr>
        <w:t>中一同装订，视为投标文件的组成部分。</w:t>
      </w:r>
    </w:p>
    <w:p>
      <w:pPr>
        <w:spacing w:line="360" w:lineRule="auto"/>
        <w:ind w:left="420" w:firstLine="480" w:firstLineChars="200"/>
        <w:rPr>
          <w:sz w:val="24"/>
        </w:rPr>
      </w:pPr>
      <w:r>
        <w:rPr>
          <w:rFonts w:hint="eastAsia"/>
          <w:sz w:val="24"/>
        </w:rPr>
        <w:t>地</w:t>
      </w:r>
      <w:r>
        <w:rPr>
          <w:sz w:val="24"/>
        </w:rPr>
        <w:t xml:space="preserve">  </w:t>
      </w:r>
      <w:r>
        <w:rPr>
          <w:rFonts w:hint="eastAsia"/>
          <w:sz w:val="24"/>
        </w:rPr>
        <w:t>址：福建省·招商局漳州开发区厦门大学漳州校区</w:t>
      </w:r>
    </w:p>
    <w:p>
      <w:pPr>
        <w:spacing w:line="360" w:lineRule="auto"/>
        <w:ind w:left="420" w:firstLine="480" w:firstLineChars="200"/>
        <w:rPr>
          <w:sz w:val="24"/>
        </w:rPr>
      </w:pPr>
      <w:r>
        <w:rPr>
          <w:rFonts w:hint="eastAsia"/>
          <w:sz w:val="24"/>
        </w:rPr>
        <w:t>联系人：程老师、江老师、叶老师、蒋老师</w:t>
      </w:r>
    </w:p>
    <w:p>
      <w:pPr>
        <w:spacing w:line="360" w:lineRule="auto"/>
        <w:ind w:left="420" w:firstLine="480" w:firstLineChars="200"/>
        <w:rPr>
          <w:sz w:val="24"/>
        </w:rPr>
      </w:pPr>
      <w:r>
        <w:rPr>
          <w:rFonts w:hint="eastAsia"/>
          <w:sz w:val="24"/>
        </w:rPr>
        <w:t>电</w:t>
      </w:r>
      <w:r>
        <w:rPr>
          <w:sz w:val="24"/>
        </w:rPr>
        <w:t xml:space="preserve">  </w:t>
      </w:r>
      <w:r>
        <w:rPr>
          <w:rFonts w:hint="eastAsia"/>
          <w:sz w:val="24"/>
        </w:rPr>
        <w:t>话：</w:t>
      </w:r>
      <w:r>
        <w:rPr>
          <w:sz w:val="24"/>
        </w:rPr>
        <w:t>0596-6288</w:t>
      </w:r>
      <w:r>
        <w:rPr>
          <w:rFonts w:hint="eastAsia"/>
          <w:sz w:val="24"/>
        </w:rPr>
        <w:t>524、6</w:t>
      </w:r>
      <w:r>
        <w:rPr>
          <w:sz w:val="24"/>
        </w:rPr>
        <w:t>28</w:t>
      </w:r>
      <w:r>
        <w:rPr>
          <w:rFonts w:hint="eastAsia"/>
          <w:sz w:val="24"/>
        </w:rPr>
        <w:t>8778、6289291、6289526</w:t>
      </w:r>
    </w:p>
    <w:p>
      <w:pPr>
        <w:spacing w:line="360" w:lineRule="auto"/>
        <w:ind w:left="420" w:firstLine="480" w:firstLineChars="200"/>
        <w:rPr>
          <w:sz w:val="24"/>
        </w:rPr>
      </w:pPr>
      <w:r>
        <w:rPr>
          <w:rFonts w:hint="eastAsia"/>
          <w:sz w:val="24"/>
        </w:rPr>
        <w:t>传</w:t>
      </w:r>
      <w:r>
        <w:rPr>
          <w:sz w:val="24"/>
        </w:rPr>
        <w:t xml:space="preserve">  </w:t>
      </w:r>
      <w:r>
        <w:rPr>
          <w:rFonts w:hint="eastAsia"/>
          <w:sz w:val="24"/>
        </w:rPr>
        <w:t>真：</w:t>
      </w:r>
      <w:r>
        <w:rPr>
          <w:sz w:val="24"/>
        </w:rPr>
        <w:t>0596-6288224</w:t>
      </w:r>
    </w:p>
    <w:p>
      <w:pPr>
        <w:spacing w:line="360" w:lineRule="auto"/>
        <w:ind w:left="420" w:firstLine="480" w:firstLineChars="200"/>
        <w:rPr>
          <w:sz w:val="24"/>
        </w:rPr>
      </w:pPr>
      <w:r>
        <w:rPr>
          <w:rFonts w:hint="eastAsia"/>
          <w:sz w:val="24"/>
        </w:rPr>
        <w:t>网</w:t>
      </w:r>
      <w:r>
        <w:rPr>
          <w:sz w:val="24"/>
        </w:rPr>
        <w:t xml:space="preserve">  </w:t>
      </w:r>
      <w:r>
        <w:rPr>
          <w:rFonts w:hint="eastAsia"/>
          <w:sz w:val="24"/>
        </w:rPr>
        <w:t>址：</w:t>
      </w:r>
      <w:r>
        <w:rPr>
          <w:sz w:val="24"/>
        </w:rPr>
        <w:t>http://zchq.xujc.com</w:t>
      </w:r>
    </w:p>
    <w:p>
      <w:pPr>
        <w:spacing w:line="360" w:lineRule="auto"/>
        <w:ind w:left="2099" w:leftChars="428" w:hanging="1200" w:hangingChars="500"/>
        <w:rPr>
          <w:sz w:val="24"/>
        </w:rPr>
      </w:pPr>
      <w:r>
        <w:rPr>
          <w:sz w:val="24"/>
        </w:rPr>
        <w:t>Email</w:t>
      </w:r>
      <w:r>
        <w:rPr>
          <w:rFonts w:hint="eastAsia"/>
          <w:sz w:val="24"/>
        </w:rPr>
        <w:t>：</w:t>
      </w:r>
      <w:r>
        <w:fldChar w:fldCharType="begin"/>
      </w:r>
      <w:r>
        <w:instrText xml:space="preserve"> HYPERLINK "mailto:linxr@xujc.com" </w:instrText>
      </w:r>
      <w:r>
        <w:fldChar w:fldCharType="separate"/>
      </w:r>
      <w:r>
        <w:rPr>
          <w:rFonts w:hint="eastAsia"/>
          <w:sz w:val="24"/>
        </w:rPr>
        <w:t>jfcheng@xujc.com</w:t>
      </w:r>
      <w:r>
        <w:rPr>
          <w:rFonts w:hint="eastAsia"/>
          <w:sz w:val="24"/>
        </w:rPr>
        <w:fldChar w:fldCharType="end"/>
      </w:r>
      <w:r>
        <w:rPr>
          <w:rFonts w:hint="eastAsia"/>
          <w:sz w:val="24"/>
        </w:rPr>
        <w:t>、</w:t>
      </w:r>
      <w:r>
        <w:fldChar w:fldCharType="begin"/>
      </w:r>
      <w:r>
        <w:instrText xml:space="preserve"> HYPERLINK "mailto:wnye@xujc.com" </w:instrText>
      </w:r>
      <w:r>
        <w:fldChar w:fldCharType="separate"/>
      </w:r>
      <w:r>
        <w:rPr>
          <w:rFonts w:hint="eastAsia"/>
          <w:sz w:val="24"/>
        </w:rPr>
        <w:t>jiangwei</w:t>
      </w:r>
      <w:r>
        <w:rPr>
          <w:rStyle w:val="14"/>
          <w:rFonts w:hint="eastAsia"/>
          <w:sz w:val="24"/>
        </w:rPr>
        <w:t>@xujc.com</w:t>
      </w:r>
      <w:r>
        <w:rPr>
          <w:rStyle w:val="14"/>
          <w:rFonts w:hint="eastAsia"/>
          <w:sz w:val="24"/>
        </w:rPr>
        <w:fldChar w:fldCharType="end"/>
      </w:r>
      <w:r>
        <w:rPr>
          <w:rFonts w:hint="eastAsia"/>
          <w:sz w:val="24"/>
        </w:rPr>
        <w:t>、</w:t>
      </w:r>
      <w:r>
        <w:fldChar w:fldCharType="begin"/>
      </w:r>
      <w:r>
        <w:instrText xml:space="preserve"> HYPERLINK "mailto:jiangjc@xujc.com" </w:instrText>
      </w:r>
      <w:r>
        <w:fldChar w:fldCharType="separate"/>
      </w:r>
      <w:r>
        <w:rPr>
          <w:rFonts w:hint="eastAsia"/>
          <w:sz w:val="24"/>
        </w:rPr>
        <w:t>st1109</w:t>
      </w:r>
      <w:r>
        <w:rPr>
          <w:rStyle w:val="14"/>
          <w:color w:val="auto"/>
          <w:sz w:val="24"/>
        </w:rPr>
        <w:t>@xujc.com</w:t>
      </w:r>
      <w:r>
        <w:rPr>
          <w:rStyle w:val="14"/>
          <w:color w:val="auto"/>
          <w:sz w:val="24"/>
        </w:rPr>
        <w:fldChar w:fldCharType="end"/>
      </w:r>
    </w:p>
    <w:p>
      <w:pPr>
        <w:spacing w:line="360" w:lineRule="auto"/>
        <w:ind w:left="420" w:firstLine="480" w:firstLineChars="200"/>
        <w:rPr>
          <w:sz w:val="24"/>
        </w:rPr>
      </w:pPr>
      <w:r>
        <w:rPr>
          <w:rFonts w:hint="eastAsia"/>
          <w:sz w:val="24"/>
        </w:rPr>
        <w:t>邮</w:t>
      </w:r>
      <w:r>
        <w:rPr>
          <w:sz w:val="24"/>
        </w:rPr>
        <w:t xml:space="preserve"> </w:t>
      </w:r>
      <w:r>
        <w:rPr>
          <w:rFonts w:hint="eastAsia"/>
          <w:sz w:val="24"/>
        </w:rPr>
        <w:t>编：</w:t>
      </w:r>
      <w:r>
        <w:rPr>
          <w:sz w:val="24"/>
        </w:rPr>
        <w:t>363105</w:t>
      </w:r>
    </w:p>
    <w:p>
      <w:pPr>
        <w:widowControl/>
        <w:jc w:val="left"/>
        <w:rPr>
          <w:sz w:val="28"/>
          <w:szCs w:val="28"/>
        </w:rPr>
        <w:sectPr>
          <w:footerReference r:id="rId4" w:type="default"/>
          <w:pgSz w:w="11906" w:h="16838"/>
          <w:pgMar w:top="964" w:right="1191" w:bottom="964" w:left="1191" w:header="851" w:footer="992" w:gutter="0"/>
          <w:pgNumType w:fmt="numberInDash" w:start="1"/>
          <w:cols w:space="720" w:num="1"/>
          <w:docGrid w:type="lines" w:linePitch="312" w:charSpace="0"/>
        </w:sectPr>
      </w:pPr>
    </w:p>
    <w:p>
      <w:pPr>
        <w:pStyle w:val="2"/>
        <w:numPr>
          <w:ilvl w:val="0"/>
          <w:numId w:val="1"/>
        </w:numPr>
        <w:jc w:val="center"/>
      </w:pPr>
      <w:bookmarkStart w:id="2" w:name="_Toc153463828"/>
      <w:bookmarkStart w:id="3" w:name="_Toc20752_WPSOffice_Level1"/>
      <w:r>
        <w:rPr>
          <w:rFonts w:hint="eastAsia"/>
        </w:rPr>
        <w:t>采购项目说明及要求</w:t>
      </w:r>
      <w:bookmarkEnd w:id="2"/>
      <w:bookmarkEnd w:id="3"/>
    </w:p>
    <w:p>
      <w:pPr>
        <w:numPr>
          <w:ilvl w:val="0"/>
          <w:numId w:val="2"/>
        </w:numPr>
        <w:spacing w:line="360" w:lineRule="auto"/>
        <w:rPr>
          <w:b/>
          <w:bCs/>
          <w:sz w:val="24"/>
        </w:rPr>
      </w:pPr>
      <w:r>
        <w:rPr>
          <w:rFonts w:hint="eastAsia"/>
          <w:b/>
          <w:bCs/>
          <w:sz w:val="24"/>
        </w:rPr>
        <w:t>采购项目：</w:t>
      </w:r>
    </w:p>
    <w:p>
      <w:pPr>
        <w:numPr>
          <w:ilvl w:val="0"/>
          <w:numId w:val="0"/>
        </w:numPr>
        <w:spacing w:line="360" w:lineRule="auto"/>
        <w:ind w:leftChars="0" w:firstLine="241" w:firstLineChars="100"/>
        <w:rPr>
          <w:rFonts w:hint="eastAsia"/>
          <w:b/>
          <w:bCs/>
          <w:sz w:val="24"/>
          <w:lang w:val="en-US" w:eastAsia="zh-CN"/>
        </w:rPr>
      </w:pPr>
      <w:r>
        <w:rPr>
          <w:rFonts w:hint="eastAsia"/>
          <w:b/>
          <w:bCs/>
          <w:sz w:val="24"/>
          <w:lang w:val="en-US" w:eastAsia="zh-CN"/>
        </w:rPr>
        <w:t>合同包一：投影仪和幕布</w:t>
      </w:r>
    </w:p>
    <w:tbl>
      <w:tblPr>
        <w:tblStyle w:val="12"/>
        <w:tblpPr w:leftFromText="180" w:rightFromText="180" w:vertAnchor="text" w:tblpXSpec="center" w:tblpY="1"/>
        <w:tblOverlap w:val="never"/>
        <w:tblW w:w="51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091"/>
        <w:gridCol w:w="4467"/>
        <w:gridCol w:w="770"/>
        <w:gridCol w:w="996"/>
        <w:gridCol w:w="1099"/>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0" w:type="pct"/>
            <w:vAlign w:val="center"/>
          </w:tcPr>
          <w:p>
            <w:pPr>
              <w:jc w:val="left"/>
              <w:rPr>
                <w:rFonts w:ascii="宋体" w:hAnsi="宋体"/>
                <w:kern w:val="0"/>
                <w:sz w:val="20"/>
                <w:szCs w:val="21"/>
              </w:rPr>
            </w:pPr>
            <w:r>
              <w:rPr>
                <w:rFonts w:hint="eastAsia" w:ascii="宋体" w:hAnsi="宋体"/>
                <w:kern w:val="0"/>
                <w:sz w:val="20"/>
                <w:szCs w:val="21"/>
              </w:rPr>
              <w:t>序号</w:t>
            </w:r>
          </w:p>
        </w:tc>
        <w:tc>
          <w:tcPr>
            <w:tcW w:w="541" w:type="pct"/>
            <w:vAlign w:val="center"/>
          </w:tcPr>
          <w:p>
            <w:pPr>
              <w:jc w:val="left"/>
              <w:rPr>
                <w:rFonts w:ascii="宋体" w:hAnsi="宋体"/>
                <w:kern w:val="0"/>
                <w:sz w:val="20"/>
                <w:szCs w:val="21"/>
              </w:rPr>
            </w:pPr>
            <w:r>
              <w:rPr>
                <w:rFonts w:hint="eastAsia" w:ascii="宋体" w:hAnsi="宋体"/>
                <w:kern w:val="0"/>
                <w:sz w:val="20"/>
                <w:szCs w:val="21"/>
              </w:rPr>
              <w:t>设备名称</w:t>
            </w:r>
          </w:p>
        </w:tc>
        <w:tc>
          <w:tcPr>
            <w:tcW w:w="2219" w:type="pct"/>
            <w:tcBorders>
              <w:bottom w:val="single" w:color="auto" w:sz="4" w:space="0"/>
            </w:tcBorders>
            <w:vAlign w:val="center"/>
          </w:tcPr>
          <w:p>
            <w:pPr>
              <w:jc w:val="center"/>
              <w:rPr>
                <w:rFonts w:ascii="宋体" w:hAnsi="宋体"/>
                <w:kern w:val="0"/>
                <w:sz w:val="20"/>
                <w:szCs w:val="21"/>
              </w:rPr>
            </w:pPr>
            <w:r>
              <w:rPr>
                <w:rFonts w:hint="eastAsia" w:ascii="宋体" w:hAnsi="宋体"/>
                <w:kern w:val="0"/>
                <w:sz w:val="20"/>
                <w:szCs w:val="21"/>
              </w:rPr>
              <w:t>规格型号及技术参数</w:t>
            </w:r>
          </w:p>
        </w:tc>
        <w:tc>
          <w:tcPr>
            <w:tcW w:w="382" w:type="pct"/>
            <w:vAlign w:val="center"/>
          </w:tcPr>
          <w:p>
            <w:pPr>
              <w:jc w:val="center"/>
              <w:rPr>
                <w:rFonts w:ascii="宋体" w:hAnsi="宋体"/>
                <w:kern w:val="0"/>
                <w:sz w:val="20"/>
                <w:szCs w:val="21"/>
              </w:rPr>
            </w:pPr>
            <w:r>
              <w:rPr>
                <w:rFonts w:hint="eastAsia" w:ascii="宋体" w:hAnsi="宋体"/>
                <w:kern w:val="0"/>
                <w:sz w:val="20"/>
                <w:szCs w:val="21"/>
              </w:rPr>
              <w:t>数量</w:t>
            </w:r>
          </w:p>
        </w:tc>
        <w:tc>
          <w:tcPr>
            <w:tcW w:w="495" w:type="pct"/>
            <w:vAlign w:val="center"/>
          </w:tcPr>
          <w:p>
            <w:pPr>
              <w:jc w:val="center"/>
              <w:rPr>
                <w:rFonts w:ascii="宋体" w:hAnsi="宋体"/>
                <w:kern w:val="0"/>
                <w:sz w:val="20"/>
                <w:szCs w:val="21"/>
              </w:rPr>
            </w:pPr>
            <w:r>
              <w:rPr>
                <w:rFonts w:hint="eastAsia" w:ascii="宋体" w:hAnsi="宋体"/>
                <w:kern w:val="0"/>
                <w:sz w:val="20"/>
                <w:szCs w:val="21"/>
              </w:rPr>
              <w:t>单价</w:t>
            </w:r>
          </w:p>
        </w:tc>
        <w:tc>
          <w:tcPr>
            <w:tcW w:w="545" w:type="pct"/>
            <w:vAlign w:val="center"/>
          </w:tcPr>
          <w:p>
            <w:pPr>
              <w:jc w:val="center"/>
              <w:rPr>
                <w:rFonts w:ascii="宋体" w:hAnsi="宋体"/>
                <w:kern w:val="0"/>
                <w:sz w:val="20"/>
                <w:szCs w:val="21"/>
              </w:rPr>
            </w:pPr>
            <w:r>
              <w:rPr>
                <w:rFonts w:hint="eastAsia" w:ascii="宋体" w:hAnsi="宋体"/>
                <w:kern w:val="0"/>
                <w:sz w:val="20"/>
                <w:szCs w:val="21"/>
              </w:rPr>
              <w:t>小计</w:t>
            </w:r>
          </w:p>
        </w:tc>
        <w:tc>
          <w:tcPr>
            <w:tcW w:w="494" w:type="pct"/>
            <w:vAlign w:val="center"/>
          </w:tcPr>
          <w:p>
            <w:pPr>
              <w:jc w:val="center"/>
              <w:rPr>
                <w:rFonts w:ascii="宋体" w:hAnsi="宋体"/>
                <w:kern w:val="0"/>
                <w:sz w:val="20"/>
                <w:szCs w:val="21"/>
              </w:rPr>
            </w:pPr>
            <w:r>
              <w:rPr>
                <w:rFonts w:hint="eastAsia" w:ascii="宋体" w:hAnsi="宋体"/>
                <w:kern w:val="0"/>
                <w:sz w:val="20"/>
                <w:szCs w:val="21"/>
              </w:rPr>
              <w:t>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0" w:type="pct"/>
            <w:vAlign w:val="center"/>
          </w:tcPr>
          <w:p>
            <w:pPr>
              <w:jc w:val="center"/>
              <w:rPr>
                <w:rFonts w:ascii="宋体" w:hAnsi="宋体"/>
                <w:kern w:val="0"/>
                <w:sz w:val="20"/>
                <w:szCs w:val="21"/>
              </w:rPr>
            </w:pPr>
            <w:r>
              <w:rPr>
                <w:rFonts w:hint="eastAsia" w:ascii="宋体" w:hAnsi="宋体"/>
                <w:kern w:val="0"/>
                <w:sz w:val="20"/>
                <w:szCs w:val="21"/>
              </w:rPr>
              <w:t>1</w:t>
            </w:r>
          </w:p>
        </w:tc>
        <w:tc>
          <w:tcPr>
            <w:tcW w:w="541" w:type="pct"/>
            <w:vAlign w:val="center"/>
          </w:tcPr>
          <w:p>
            <w:pPr>
              <w:jc w:val="center"/>
              <w:rPr>
                <w:rFonts w:ascii="宋体" w:hAnsi="宋体"/>
                <w:kern w:val="0"/>
                <w:sz w:val="20"/>
                <w:szCs w:val="21"/>
              </w:rPr>
            </w:pPr>
            <w:r>
              <w:rPr>
                <w:rFonts w:hint="eastAsia" w:ascii="宋体" w:hAnsi="宋体"/>
                <w:kern w:val="0"/>
                <w:sz w:val="20"/>
                <w:szCs w:val="21"/>
              </w:rPr>
              <w:t>投影仪</w:t>
            </w:r>
          </w:p>
        </w:tc>
        <w:tc>
          <w:tcPr>
            <w:tcW w:w="2219" w:type="pct"/>
            <w:tcBorders>
              <w:bottom w:val="single" w:color="auto" w:sz="4" w:space="0"/>
            </w:tcBorders>
            <w:vAlign w:val="center"/>
          </w:tcPr>
          <w:p>
            <w:pPr>
              <w:jc w:val="left"/>
              <w:rPr>
                <w:rFonts w:ascii="宋体" w:hAnsi="宋体"/>
                <w:kern w:val="0"/>
                <w:sz w:val="20"/>
                <w:szCs w:val="21"/>
              </w:rPr>
            </w:pPr>
            <w:r>
              <w:rPr>
                <w:rFonts w:hint="eastAsia" w:ascii="宋体" w:hAnsi="宋体"/>
                <w:kern w:val="0"/>
                <w:sz w:val="20"/>
                <w:szCs w:val="21"/>
              </w:rPr>
              <w:t>推荐品牌：爱普生、松下、</w:t>
            </w:r>
            <w:r>
              <w:rPr>
                <w:rFonts w:ascii="宋体" w:hAnsi="宋体"/>
                <w:kern w:val="0"/>
                <w:sz w:val="20"/>
                <w:szCs w:val="21"/>
              </w:rPr>
              <w:t>NEC</w:t>
            </w:r>
            <w:r>
              <w:rPr>
                <w:rFonts w:hint="eastAsia" w:ascii="宋体" w:hAnsi="宋体"/>
                <w:kern w:val="0"/>
                <w:sz w:val="20"/>
                <w:szCs w:val="21"/>
              </w:rPr>
              <w:t>等知名品牌。</w:t>
            </w:r>
          </w:p>
          <w:p>
            <w:pPr>
              <w:jc w:val="left"/>
              <w:rPr>
                <w:rFonts w:ascii="宋体" w:hAnsi="宋体"/>
                <w:kern w:val="0"/>
                <w:sz w:val="20"/>
                <w:szCs w:val="21"/>
              </w:rPr>
            </w:pPr>
            <w:r>
              <w:rPr>
                <w:rFonts w:hint="eastAsia" w:ascii="宋体" w:hAnsi="宋体"/>
                <w:kern w:val="0"/>
                <w:sz w:val="20"/>
                <w:szCs w:val="21"/>
              </w:rPr>
              <w:t>1.亮度≥4500流明(ISO21118标准)；</w:t>
            </w:r>
          </w:p>
          <w:p>
            <w:pPr>
              <w:jc w:val="left"/>
              <w:rPr>
                <w:rFonts w:ascii="宋体" w:hAnsi="宋体"/>
                <w:kern w:val="0"/>
                <w:sz w:val="20"/>
                <w:szCs w:val="21"/>
              </w:rPr>
            </w:pPr>
            <w:r>
              <w:rPr>
                <w:rFonts w:hint="eastAsia" w:ascii="宋体" w:hAnsi="宋体"/>
                <w:kern w:val="0"/>
                <w:sz w:val="20"/>
                <w:szCs w:val="21"/>
              </w:rPr>
              <w:t>2.标准分辨率≥1280×800；WXGA；</w:t>
            </w:r>
          </w:p>
          <w:p>
            <w:pPr>
              <w:jc w:val="left"/>
              <w:rPr>
                <w:rFonts w:ascii="宋体" w:hAnsi="宋体"/>
                <w:kern w:val="0"/>
                <w:sz w:val="20"/>
                <w:szCs w:val="21"/>
              </w:rPr>
            </w:pPr>
            <w:r>
              <w:rPr>
                <w:rFonts w:hint="eastAsia" w:ascii="宋体" w:hAnsi="宋体"/>
                <w:kern w:val="0"/>
                <w:sz w:val="20"/>
                <w:szCs w:val="21"/>
              </w:rPr>
              <w:t>3.对比度≥2500000:1；</w:t>
            </w:r>
          </w:p>
          <w:p>
            <w:pPr>
              <w:jc w:val="left"/>
              <w:rPr>
                <w:rFonts w:ascii="宋体" w:hAnsi="宋体"/>
                <w:color w:val="auto"/>
                <w:kern w:val="0"/>
                <w:sz w:val="20"/>
                <w:szCs w:val="21"/>
              </w:rPr>
            </w:pPr>
            <w:r>
              <w:rPr>
                <w:rFonts w:hint="eastAsia" w:ascii="宋体" w:hAnsi="宋体"/>
                <w:color w:val="auto"/>
                <w:kern w:val="0"/>
                <w:sz w:val="20"/>
                <w:szCs w:val="21"/>
              </w:rPr>
              <w:t>4.成像技术：3LCD技术；液晶显示板大于等于0.59英寸；</w:t>
            </w:r>
          </w:p>
          <w:p>
            <w:pPr>
              <w:jc w:val="left"/>
              <w:rPr>
                <w:rFonts w:ascii="宋体" w:hAnsi="宋体"/>
                <w:kern w:val="0"/>
                <w:sz w:val="20"/>
                <w:szCs w:val="21"/>
              </w:rPr>
            </w:pPr>
            <w:r>
              <w:rPr>
                <w:rFonts w:hint="eastAsia" w:ascii="宋体" w:hAnsi="宋体"/>
                <w:kern w:val="0"/>
                <w:sz w:val="20"/>
                <w:szCs w:val="21"/>
              </w:rPr>
              <w:t xml:space="preserve">5.光源类型：激光二极管；光源寿命：20000小时； </w:t>
            </w:r>
          </w:p>
          <w:p>
            <w:pPr>
              <w:jc w:val="left"/>
              <w:rPr>
                <w:rFonts w:ascii="宋体" w:hAnsi="宋体"/>
                <w:kern w:val="0"/>
                <w:sz w:val="20"/>
                <w:szCs w:val="21"/>
              </w:rPr>
            </w:pPr>
            <w:r>
              <w:rPr>
                <w:rFonts w:ascii="宋体" w:hAnsi="宋体"/>
                <w:kern w:val="0"/>
                <w:sz w:val="20"/>
                <w:szCs w:val="21"/>
              </w:rPr>
              <w:t>6</w:t>
            </w:r>
            <w:r>
              <w:rPr>
                <w:rFonts w:hint="eastAsia" w:ascii="宋体" w:hAnsi="宋体"/>
                <w:kern w:val="0"/>
                <w:sz w:val="20"/>
                <w:szCs w:val="21"/>
              </w:rPr>
              <w:t>.投射比：1.3-2.1；</w:t>
            </w:r>
          </w:p>
          <w:p>
            <w:pPr>
              <w:jc w:val="left"/>
              <w:rPr>
                <w:rFonts w:ascii="宋体" w:hAnsi="宋体"/>
                <w:kern w:val="0"/>
                <w:sz w:val="20"/>
                <w:szCs w:val="21"/>
              </w:rPr>
            </w:pPr>
            <w:r>
              <w:rPr>
                <w:rFonts w:ascii="宋体" w:hAnsi="宋体"/>
                <w:kern w:val="0"/>
                <w:sz w:val="20"/>
                <w:szCs w:val="21"/>
              </w:rPr>
              <w:t>7</w:t>
            </w:r>
            <w:r>
              <w:rPr>
                <w:rFonts w:hint="eastAsia" w:ascii="宋体" w:hAnsi="宋体"/>
                <w:kern w:val="0"/>
                <w:sz w:val="20"/>
                <w:szCs w:val="21"/>
              </w:rPr>
              <w:t>.支持垂直、水平梯形校正，≥（垂直±30%， 水平±30%）同时还可以调整投射画面的四角和四边的位置，适于在复杂环境下对不规则画面的校正；</w:t>
            </w:r>
          </w:p>
          <w:p>
            <w:pPr>
              <w:jc w:val="left"/>
              <w:rPr>
                <w:rFonts w:ascii="宋体" w:hAnsi="宋体"/>
                <w:kern w:val="0"/>
                <w:sz w:val="20"/>
                <w:szCs w:val="21"/>
              </w:rPr>
            </w:pPr>
            <w:r>
              <w:rPr>
                <w:rFonts w:ascii="宋体" w:hAnsi="宋体"/>
                <w:kern w:val="0"/>
                <w:sz w:val="20"/>
                <w:szCs w:val="21"/>
              </w:rPr>
              <w:t>8</w:t>
            </w:r>
            <w:r>
              <w:rPr>
                <w:rFonts w:hint="eastAsia" w:ascii="宋体" w:hAnsi="宋体"/>
                <w:kern w:val="0"/>
                <w:sz w:val="20"/>
                <w:szCs w:val="21"/>
              </w:rPr>
              <w:t>.接口：HDMI输入*2，D-sub 15-pin电脑输入*2，RJ45*1，串口RS-232C*1；</w:t>
            </w:r>
          </w:p>
          <w:p>
            <w:pPr>
              <w:jc w:val="left"/>
              <w:rPr>
                <w:rFonts w:ascii="宋体" w:hAnsi="宋体"/>
                <w:kern w:val="0"/>
                <w:sz w:val="20"/>
                <w:szCs w:val="21"/>
              </w:rPr>
            </w:pPr>
            <w:r>
              <w:rPr>
                <w:rFonts w:ascii="宋体" w:hAnsi="宋体"/>
                <w:kern w:val="0"/>
                <w:sz w:val="20"/>
                <w:szCs w:val="21"/>
              </w:rPr>
              <w:t>9</w:t>
            </w:r>
            <w:r>
              <w:rPr>
                <w:rFonts w:hint="eastAsia" w:ascii="宋体" w:hAnsi="宋体"/>
                <w:kern w:val="0"/>
                <w:sz w:val="20"/>
                <w:szCs w:val="21"/>
              </w:rPr>
              <w:t>.其它配件：DB9免焊接头RS232，10A五孔电源插座面板；</w:t>
            </w:r>
          </w:p>
          <w:p>
            <w:pPr>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0</w:t>
            </w:r>
            <w:r>
              <w:rPr>
                <w:rFonts w:hint="eastAsia" w:ascii="宋体" w:hAnsi="宋体"/>
                <w:kern w:val="0"/>
                <w:sz w:val="20"/>
                <w:szCs w:val="21"/>
              </w:rPr>
              <w:t>.本次为以旧换新，投影上方位置未改造的电源线须改成五孔电源接线盒模式，供应商应按甲方要求完成投影机吊装（需提供吊架）及接线等。如更换后投影显示画面不正常（如不满屏、梯型、闪屏等），须重新布线及移机。</w:t>
            </w:r>
          </w:p>
          <w:p>
            <w:pPr>
              <w:jc w:val="left"/>
              <w:rPr>
                <w:rFonts w:ascii="宋体" w:hAnsi="宋体"/>
                <w:kern w:val="0"/>
                <w:sz w:val="20"/>
                <w:szCs w:val="21"/>
              </w:rPr>
            </w:pPr>
            <w:r>
              <w:rPr>
                <w:rFonts w:hint="eastAsia" w:ascii="宋体" w:hAnsi="宋体"/>
                <w:kern w:val="0"/>
                <w:sz w:val="20"/>
                <w:szCs w:val="21"/>
              </w:rPr>
              <w:t>保修期：产品整机≥</w:t>
            </w:r>
            <w:r>
              <w:rPr>
                <w:rFonts w:ascii="宋体" w:hAnsi="宋体"/>
                <w:kern w:val="0"/>
                <w:sz w:val="20"/>
                <w:szCs w:val="21"/>
              </w:rPr>
              <w:t>5</w:t>
            </w:r>
            <w:r>
              <w:rPr>
                <w:rFonts w:hint="eastAsia" w:ascii="宋体" w:hAnsi="宋体"/>
                <w:kern w:val="0"/>
                <w:sz w:val="20"/>
                <w:szCs w:val="21"/>
              </w:rPr>
              <w:t>年。</w:t>
            </w:r>
          </w:p>
          <w:p>
            <w:pPr>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1</w:t>
            </w:r>
            <w:r>
              <w:rPr>
                <w:rFonts w:hint="eastAsia" w:ascii="宋体" w:hAnsi="宋体"/>
                <w:kern w:val="0"/>
                <w:sz w:val="20"/>
                <w:szCs w:val="21"/>
              </w:rPr>
              <w:t>.放置地点：公1#505、506、517、518、经管#201、207、209、210、219、301、310、主2#117、主5#411、501、502、506</w:t>
            </w:r>
          </w:p>
        </w:tc>
        <w:tc>
          <w:tcPr>
            <w:tcW w:w="382" w:type="pct"/>
            <w:vAlign w:val="center"/>
          </w:tcPr>
          <w:p>
            <w:pPr>
              <w:jc w:val="center"/>
              <w:rPr>
                <w:rFonts w:ascii="宋体" w:hAnsi="宋体"/>
                <w:kern w:val="0"/>
                <w:sz w:val="20"/>
                <w:szCs w:val="21"/>
              </w:rPr>
            </w:pPr>
            <w:r>
              <w:rPr>
                <w:rFonts w:hint="eastAsia" w:ascii="宋体" w:hAnsi="宋体"/>
                <w:kern w:val="0"/>
                <w:sz w:val="20"/>
                <w:szCs w:val="21"/>
              </w:rPr>
              <w:t>16台</w:t>
            </w:r>
          </w:p>
        </w:tc>
        <w:tc>
          <w:tcPr>
            <w:tcW w:w="495" w:type="pct"/>
            <w:vAlign w:val="center"/>
          </w:tcPr>
          <w:p>
            <w:pPr>
              <w:jc w:val="center"/>
              <w:rPr>
                <w:rFonts w:ascii="宋体" w:hAnsi="宋体"/>
                <w:kern w:val="0"/>
                <w:sz w:val="20"/>
                <w:szCs w:val="21"/>
              </w:rPr>
            </w:pPr>
          </w:p>
        </w:tc>
        <w:tc>
          <w:tcPr>
            <w:tcW w:w="545" w:type="pct"/>
            <w:vAlign w:val="center"/>
          </w:tcPr>
          <w:p>
            <w:pPr>
              <w:jc w:val="center"/>
              <w:rPr>
                <w:rFonts w:ascii="宋体" w:hAnsi="宋体"/>
                <w:kern w:val="0"/>
                <w:sz w:val="20"/>
                <w:szCs w:val="21"/>
              </w:rPr>
            </w:pPr>
          </w:p>
        </w:tc>
        <w:tc>
          <w:tcPr>
            <w:tcW w:w="494" w:type="pct"/>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0" w:type="pct"/>
            <w:vAlign w:val="center"/>
          </w:tcPr>
          <w:p>
            <w:pPr>
              <w:jc w:val="center"/>
              <w:rPr>
                <w:rFonts w:ascii="宋体" w:hAnsi="宋体"/>
                <w:kern w:val="0"/>
                <w:sz w:val="20"/>
                <w:szCs w:val="21"/>
              </w:rPr>
            </w:pPr>
            <w:r>
              <w:rPr>
                <w:rFonts w:hint="eastAsia" w:ascii="宋体" w:hAnsi="宋体"/>
                <w:kern w:val="0"/>
                <w:sz w:val="20"/>
                <w:szCs w:val="21"/>
              </w:rPr>
              <w:t>2</w:t>
            </w:r>
          </w:p>
        </w:tc>
        <w:tc>
          <w:tcPr>
            <w:tcW w:w="541" w:type="pct"/>
            <w:vAlign w:val="center"/>
          </w:tcPr>
          <w:p>
            <w:pPr>
              <w:jc w:val="center"/>
              <w:rPr>
                <w:rFonts w:ascii="宋体" w:hAnsi="宋体"/>
                <w:kern w:val="0"/>
                <w:sz w:val="20"/>
                <w:szCs w:val="21"/>
              </w:rPr>
            </w:pPr>
            <w:r>
              <w:rPr>
                <w:rFonts w:hint="eastAsia" w:ascii="宋体" w:hAnsi="宋体"/>
                <w:kern w:val="0"/>
                <w:sz w:val="20"/>
                <w:szCs w:val="21"/>
              </w:rPr>
              <w:t>幕布    （1</w:t>
            </w:r>
            <w:r>
              <w:rPr>
                <w:rFonts w:ascii="宋体" w:hAnsi="宋体"/>
                <w:kern w:val="0"/>
                <w:sz w:val="20"/>
                <w:szCs w:val="21"/>
              </w:rPr>
              <w:t>50</w:t>
            </w:r>
            <w:r>
              <w:rPr>
                <w:rFonts w:hint="eastAsia" w:ascii="宋体" w:hAnsi="宋体"/>
                <w:kern w:val="0"/>
                <w:sz w:val="20"/>
                <w:szCs w:val="21"/>
              </w:rPr>
              <w:t>寸）</w:t>
            </w:r>
          </w:p>
        </w:tc>
        <w:tc>
          <w:tcPr>
            <w:tcW w:w="2219" w:type="pct"/>
            <w:tcBorders>
              <w:bottom w:val="single" w:color="auto" w:sz="4" w:space="0"/>
            </w:tcBorders>
            <w:vAlign w:val="center"/>
          </w:tcPr>
          <w:p>
            <w:pPr>
              <w:jc w:val="left"/>
              <w:rPr>
                <w:rFonts w:ascii="宋体" w:hAnsi="宋体"/>
                <w:kern w:val="0"/>
                <w:sz w:val="20"/>
                <w:szCs w:val="21"/>
              </w:rPr>
            </w:pPr>
            <w:r>
              <w:rPr>
                <w:rFonts w:hint="eastAsia" w:ascii="宋体" w:hAnsi="宋体"/>
                <w:kern w:val="0"/>
                <w:sz w:val="20"/>
                <w:szCs w:val="21"/>
              </w:rPr>
              <w:t>1.尺寸：150寸；画面比例16:10；</w:t>
            </w:r>
          </w:p>
          <w:p>
            <w:pPr>
              <w:jc w:val="left"/>
              <w:rPr>
                <w:rFonts w:ascii="宋体" w:hAnsi="宋体"/>
                <w:kern w:val="0"/>
                <w:sz w:val="20"/>
                <w:szCs w:val="21"/>
              </w:rPr>
            </w:pPr>
            <w:r>
              <w:rPr>
                <w:rFonts w:hint="eastAsia" w:ascii="宋体" w:hAnsi="宋体"/>
                <w:kern w:val="0"/>
                <w:sz w:val="20"/>
                <w:szCs w:val="21"/>
              </w:rPr>
              <w:t>2.采用管状电机，幕布升降宁静流畅无噪音；</w:t>
            </w:r>
          </w:p>
          <w:p>
            <w:pPr>
              <w:jc w:val="left"/>
              <w:rPr>
                <w:rFonts w:ascii="宋体" w:hAnsi="宋体"/>
                <w:kern w:val="0"/>
                <w:sz w:val="20"/>
                <w:szCs w:val="21"/>
              </w:rPr>
            </w:pPr>
            <w:r>
              <w:rPr>
                <w:rFonts w:hint="eastAsia" w:ascii="宋体" w:hAnsi="宋体"/>
                <w:kern w:val="0"/>
                <w:sz w:val="20"/>
                <w:szCs w:val="21"/>
              </w:rPr>
              <w:t>3.幕面采用优质玻纤投影幕布；</w:t>
            </w:r>
          </w:p>
          <w:p>
            <w:pPr>
              <w:jc w:val="left"/>
              <w:rPr>
                <w:rFonts w:ascii="宋体" w:hAnsi="宋体"/>
                <w:kern w:val="0"/>
                <w:sz w:val="20"/>
                <w:szCs w:val="21"/>
              </w:rPr>
            </w:pPr>
            <w:r>
              <w:rPr>
                <w:rFonts w:hint="eastAsia" w:ascii="宋体" w:hAnsi="宋体"/>
                <w:kern w:val="0"/>
                <w:sz w:val="20"/>
                <w:szCs w:val="21"/>
              </w:rPr>
              <w:t>4.经久耐用，防霉，阻燃，无异味，不褪色，不发黄，不变形；</w:t>
            </w:r>
          </w:p>
          <w:p>
            <w:pPr>
              <w:jc w:val="left"/>
              <w:rPr>
                <w:rFonts w:ascii="宋体" w:hAnsi="宋体"/>
                <w:kern w:val="0"/>
                <w:sz w:val="20"/>
                <w:szCs w:val="21"/>
              </w:rPr>
            </w:pPr>
            <w:r>
              <w:rPr>
                <w:rFonts w:hint="eastAsia" w:ascii="宋体" w:hAnsi="宋体"/>
                <w:kern w:val="0"/>
                <w:sz w:val="20"/>
                <w:szCs w:val="21"/>
              </w:rPr>
              <w:t>5.幕面采用消炫光设计；投影幕外壳采用烤漆制成；</w:t>
            </w:r>
          </w:p>
          <w:p>
            <w:pPr>
              <w:jc w:val="left"/>
              <w:rPr>
                <w:rFonts w:ascii="宋体" w:hAnsi="宋体"/>
                <w:kern w:val="0"/>
                <w:sz w:val="20"/>
                <w:szCs w:val="21"/>
              </w:rPr>
            </w:pPr>
            <w:r>
              <w:rPr>
                <w:rFonts w:hint="eastAsia" w:ascii="宋体" w:hAnsi="宋体"/>
                <w:kern w:val="0"/>
                <w:sz w:val="20"/>
                <w:szCs w:val="21"/>
              </w:rPr>
              <w:t>6.投影幕可接入中控设备，实现控制自动升降。</w:t>
            </w:r>
          </w:p>
          <w:p>
            <w:pPr>
              <w:jc w:val="left"/>
              <w:rPr>
                <w:rFonts w:ascii="宋体" w:hAnsi="宋体"/>
                <w:kern w:val="0"/>
                <w:sz w:val="20"/>
                <w:szCs w:val="21"/>
              </w:rPr>
            </w:pPr>
            <w:r>
              <w:rPr>
                <w:rFonts w:hint="eastAsia" w:ascii="宋体" w:hAnsi="宋体"/>
                <w:kern w:val="0"/>
                <w:sz w:val="20"/>
                <w:szCs w:val="21"/>
              </w:rPr>
              <w:t>7.保修期：产品整机≥</w:t>
            </w:r>
            <w:r>
              <w:rPr>
                <w:rFonts w:ascii="宋体" w:hAnsi="宋体"/>
                <w:kern w:val="0"/>
                <w:sz w:val="20"/>
                <w:szCs w:val="21"/>
              </w:rPr>
              <w:t>5</w:t>
            </w:r>
            <w:r>
              <w:rPr>
                <w:rFonts w:hint="eastAsia" w:ascii="宋体" w:hAnsi="宋体"/>
                <w:kern w:val="0"/>
                <w:sz w:val="20"/>
                <w:szCs w:val="21"/>
              </w:rPr>
              <w:t>年。</w:t>
            </w:r>
          </w:p>
          <w:p>
            <w:pPr>
              <w:jc w:val="left"/>
              <w:rPr>
                <w:rFonts w:ascii="宋体" w:hAnsi="宋体"/>
                <w:kern w:val="0"/>
                <w:sz w:val="20"/>
                <w:szCs w:val="21"/>
              </w:rPr>
            </w:pPr>
            <w:r>
              <w:rPr>
                <w:rFonts w:hint="eastAsia" w:ascii="宋体" w:hAnsi="宋体"/>
                <w:kern w:val="0"/>
                <w:sz w:val="20"/>
                <w:szCs w:val="21"/>
              </w:rPr>
              <w:t>8.放置地点：公1#505、506、主5#501、经管#201、219、301、主2#117。</w:t>
            </w:r>
          </w:p>
        </w:tc>
        <w:tc>
          <w:tcPr>
            <w:tcW w:w="382" w:type="pct"/>
            <w:vAlign w:val="center"/>
          </w:tcPr>
          <w:p>
            <w:pPr>
              <w:jc w:val="center"/>
              <w:rPr>
                <w:rFonts w:ascii="宋体" w:hAnsi="宋体"/>
                <w:kern w:val="0"/>
                <w:sz w:val="20"/>
                <w:szCs w:val="21"/>
              </w:rPr>
            </w:pPr>
            <w:r>
              <w:rPr>
                <w:rFonts w:hint="eastAsia" w:ascii="宋体" w:hAnsi="宋体"/>
                <w:kern w:val="0"/>
                <w:sz w:val="20"/>
                <w:szCs w:val="21"/>
              </w:rPr>
              <w:t>7块</w:t>
            </w:r>
          </w:p>
        </w:tc>
        <w:tc>
          <w:tcPr>
            <w:tcW w:w="495" w:type="pct"/>
            <w:vAlign w:val="center"/>
          </w:tcPr>
          <w:p>
            <w:pPr>
              <w:jc w:val="center"/>
              <w:rPr>
                <w:rFonts w:ascii="宋体" w:hAnsi="宋体"/>
                <w:kern w:val="0"/>
                <w:sz w:val="20"/>
                <w:szCs w:val="21"/>
              </w:rPr>
            </w:pPr>
          </w:p>
        </w:tc>
        <w:tc>
          <w:tcPr>
            <w:tcW w:w="545" w:type="pct"/>
            <w:vAlign w:val="center"/>
          </w:tcPr>
          <w:p>
            <w:pPr>
              <w:jc w:val="center"/>
              <w:rPr>
                <w:rFonts w:ascii="宋体" w:hAnsi="宋体"/>
                <w:kern w:val="0"/>
                <w:sz w:val="20"/>
                <w:szCs w:val="21"/>
              </w:rPr>
            </w:pPr>
          </w:p>
        </w:tc>
        <w:tc>
          <w:tcPr>
            <w:tcW w:w="494" w:type="pct"/>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0" w:type="pct"/>
            <w:vAlign w:val="center"/>
          </w:tcPr>
          <w:p>
            <w:pPr>
              <w:jc w:val="center"/>
              <w:rPr>
                <w:rFonts w:ascii="宋体" w:hAnsi="宋体"/>
                <w:kern w:val="0"/>
                <w:sz w:val="20"/>
                <w:szCs w:val="21"/>
              </w:rPr>
            </w:pPr>
            <w:r>
              <w:rPr>
                <w:rFonts w:hint="eastAsia" w:ascii="宋体" w:hAnsi="宋体"/>
                <w:kern w:val="0"/>
                <w:sz w:val="20"/>
                <w:szCs w:val="21"/>
              </w:rPr>
              <w:t>3</w:t>
            </w:r>
          </w:p>
        </w:tc>
        <w:tc>
          <w:tcPr>
            <w:tcW w:w="541" w:type="pct"/>
            <w:vAlign w:val="center"/>
          </w:tcPr>
          <w:p>
            <w:pPr>
              <w:jc w:val="center"/>
              <w:rPr>
                <w:rFonts w:ascii="宋体" w:hAnsi="宋体"/>
                <w:kern w:val="0"/>
                <w:sz w:val="20"/>
                <w:szCs w:val="21"/>
              </w:rPr>
            </w:pPr>
            <w:r>
              <w:rPr>
                <w:rFonts w:hint="eastAsia" w:ascii="宋体" w:hAnsi="宋体"/>
                <w:kern w:val="0"/>
                <w:sz w:val="20"/>
                <w:szCs w:val="21"/>
              </w:rPr>
              <w:t>幕布 （1</w:t>
            </w:r>
            <w:r>
              <w:rPr>
                <w:rFonts w:ascii="宋体" w:hAnsi="宋体"/>
                <w:kern w:val="0"/>
                <w:sz w:val="20"/>
                <w:szCs w:val="21"/>
              </w:rPr>
              <w:t>20</w:t>
            </w:r>
            <w:r>
              <w:rPr>
                <w:rFonts w:hint="eastAsia" w:ascii="宋体" w:hAnsi="宋体"/>
                <w:kern w:val="0"/>
                <w:sz w:val="20"/>
                <w:szCs w:val="21"/>
              </w:rPr>
              <w:t>寸）</w:t>
            </w:r>
          </w:p>
        </w:tc>
        <w:tc>
          <w:tcPr>
            <w:tcW w:w="2219" w:type="pct"/>
            <w:tcBorders>
              <w:bottom w:val="single" w:color="auto" w:sz="4" w:space="0"/>
            </w:tcBorders>
          </w:tcPr>
          <w:p>
            <w:pPr>
              <w:jc w:val="left"/>
              <w:rPr>
                <w:rFonts w:ascii="宋体" w:hAnsi="宋体"/>
                <w:kern w:val="0"/>
                <w:sz w:val="20"/>
                <w:szCs w:val="21"/>
              </w:rPr>
            </w:pPr>
            <w:r>
              <w:rPr>
                <w:rFonts w:hint="eastAsia" w:ascii="宋体" w:hAnsi="宋体"/>
                <w:kern w:val="0"/>
                <w:sz w:val="20"/>
                <w:szCs w:val="21"/>
              </w:rPr>
              <w:t>1.尺寸：1</w:t>
            </w:r>
            <w:r>
              <w:rPr>
                <w:rFonts w:ascii="宋体" w:hAnsi="宋体"/>
                <w:kern w:val="0"/>
                <w:sz w:val="20"/>
                <w:szCs w:val="21"/>
              </w:rPr>
              <w:t>2</w:t>
            </w:r>
            <w:r>
              <w:rPr>
                <w:rFonts w:hint="eastAsia" w:ascii="宋体" w:hAnsi="宋体"/>
                <w:kern w:val="0"/>
                <w:sz w:val="20"/>
                <w:szCs w:val="21"/>
              </w:rPr>
              <w:t>0寸；画面比例16:10；</w:t>
            </w:r>
          </w:p>
          <w:p>
            <w:pPr>
              <w:jc w:val="left"/>
              <w:rPr>
                <w:rFonts w:ascii="宋体" w:hAnsi="宋体"/>
                <w:kern w:val="0"/>
                <w:sz w:val="20"/>
                <w:szCs w:val="21"/>
              </w:rPr>
            </w:pPr>
            <w:r>
              <w:rPr>
                <w:rFonts w:hint="eastAsia" w:ascii="宋体" w:hAnsi="宋体"/>
                <w:kern w:val="0"/>
                <w:sz w:val="20"/>
                <w:szCs w:val="21"/>
              </w:rPr>
              <w:t>2.采用管状电机，幕布升降宁静流畅无噪音；</w:t>
            </w:r>
          </w:p>
          <w:p>
            <w:pPr>
              <w:jc w:val="left"/>
              <w:rPr>
                <w:rFonts w:ascii="宋体" w:hAnsi="宋体"/>
                <w:kern w:val="0"/>
                <w:sz w:val="20"/>
                <w:szCs w:val="21"/>
              </w:rPr>
            </w:pPr>
            <w:r>
              <w:rPr>
                <w:rFonts w:hint="eastAsia" w:ascii="宋体" w:hAnsi="宋体"/>
                <w:kern w:val="0"/>
                <w:sz w:val="20"/>
                <w:szCs w:val="21"/>
              </w:rPr>
              <w:t>3.幕面采用优质玻纤投影幕布；</w:t>
            </w:r>
          </w:p>
          <w:p>
            <w:pPr>
              <w:jc w:val="left"/>
              <w:rPr>
                <w:rFonts w:ascii="宋体" w:hAnsi="宋体"/>
                <w:kern w:val="0"/>
                <w:sz w:val="20"/>
                <w:szCs w:val="21"/>
              </w:rPr>
            </w:pPr>
            <w:r>
              <w:rPr>
                <w:rFonts w:hint="eastAsia" w:ascii="宋体" w:hAnsi="宋体"/>
                <w:kern w:val="0"/>
                <w:sz w:val="20"/>
                <w:szCs w:val="21"/>
              </w:rPr>
              <w:t>4.经久耐用，防霉，阻燃，无异味，不褪色，不发黄，不变形；</w:t>
            </w:r>
          </w:p>
          <w:p>
            <w:pPr>
              <w:jc w:val="left"/>
              <w:rPr>
                <w:rFonts w:ascii="宋体" w:hAnsi="宋体"/>
                <w:kern w:val="0"/>
                <w:sz w:val="20"/>
                <w:szCs w:val="21"/>
              </w:rPr>
            </w:pPr>
            <w:r>
              <w:rPr>
                <w:rFonts w:hint="eastAsia" w:ascii="宋体" w:hAnsi="宋体"/>
                <w:kern w:val="0"/>
                <w:sz w:val="20"/>
                <w:szCs w:val="21"/>
              </w:rPr>
              <w:t>5.幕面采用消炫光设计；投影幕外壳采用烤漆制成；</w:t>
            </w:r>
          </w:p>
          <w:p>
            <w:pPr>
              <w:jc w:val="left"/>
              <w:rPr>
                <w:rFonts w:ascii="宋体" w:hAnsi="宋体"/>
                <w:kern w:val="0"/>
                <w:sz w:val="20"/>
                <w:szCs w:val="21"/>
              </w:rPr>
            </w:pPr>
            <w:r>
              <w:rPr>
                <w:rFonts w:hint="eastAsia" w:ascii="宋体" w:hAnsi="宋体"/>
                <w:kern w:val="0"/>
                <w:sz w:val="20"/>
                <w:szCs w:val="21"/>
              </w:rPr>
              <w:t>6.投影幕可接入中控设备，实现控制自动升降。</w:t>
            </w:r>
          </w:p>
          <w:p>
            <w:pPr>
              <w:jc w:val="left"/>
              <w:rPr>
                <w:rFonts w:ascii="宋体" w:hAnsi="宋体"/>
                <w:kern w:val="0"/>
                <w:sz w:val="20"/>
                <w:szCs w:val="21"/>
              </w:rPr>
            </w:pPr>
            <w:r>
              <w:rPr>
                <w:rFonts w:hint="eastAsia" w:ascii="宋体" w:hAnsi="宋体"/>
                <w:kern w:val="0"/>
                <w:sz w:val="20"/>
                <w:szCs w:val="21"/>
              </w:rPr>
              <w:t>7.保修期：产品整机≥</w:t>
            </w:r>
            <w:r>
              <w:rPr>
                <w:rFonts w:ascii="宋体" w:hAnsi="宋体"/>
                <w:kern w:val="0"/>
                <w:sz w:val="20"/>
                <w:szCs w:val="21"/>
              </w:rPr>
              <w:t>5</w:t>
            </w:r>
            <w:r>
              <w:rPr>
                <w:rFonts w:hint="eastAsia" w:ascii="宋体" w:hAnsi="宋体"/>
                <w:kern w:val="0"/>
                <w:sz w:val="20"/>
                <w:szCs w:val="21"/>
              </w:rPr>
              <w:t>年。</w:t>
            </w:r>
          </w:p>
          <w:p>
            <w:pPr>
              <w:jc w:val="left"/>
              <w:rPr>
                <w:rFonts w:hint="eastAsia" w:ascii="宋体" w:hAnsi="宋体"/>
                <w:kern w:val="0"/>
                <w:sz w:val="20"/>
                <w:szCs w:val="21"/>
              </w:rPr>
            </w:pPr>
            <w:r>
              <w:rPr>
                <w:rFonts w:hint="eastAsia" w:ascii="宋体" w:hAnsi="宋体"/>
                <w:kern w:val="0"/>
                <w:sz w:val="20"/>
                <w:szCs w:val="21"/>
              </w:rPr>
              <w:t>8.放置地点：公1#517、518、主5#411、502、506、经管#207、209、210、310。</w:t>
            </w:r>
          </w:p>
        </w:tc>
        <w:tc>
          <w:tcPr>
            <w:tcW w:w="382" w:type="pct"/>
            <w:vAlign w:val="center"/>
          </w:tcPr>
          <w:p>
            <w:pPr>
              <w:jc w:val="center"/>
              <w:rPr>
                <w:rFonts w:ascii="宋体" w:hAnsi="宋体"/>
                <w:kern w:val="0"/>
                <w:sz w:val="20"/>
                <w:szCs w:val="21"/>
              </w:rPr>
            </w:pPr>
            <w:r>
              <w:rPr>
                <w:rFonts w:hint="eastAsia" w:ascii="宋体" w:hAnsi="宋体"/>
                <w:kern w:val="0"/>
                <w:sz w:val="20"/>
                <w:szCs w:val="21"/>
              </w:rPr>
              <w:t>9块</w:t>
            </w:r>
          </w:p>
        </w:tc>
        <w:tc>
          <w:tcPr>
            <w:tcW w:w="495" w:type="pct"/>
            <w:vAlign w:val="center"/>
          </w:tcPr>
          <w:p>
            <w:pPr>
              <w:jc w:val="center"/>
              <w:rPr>
                <w:rFonts w:ascii="宋体" w:hAnsi="宋体"/>
                <w:kern w:val="0"/>
                <w:sz w:val="20"/>
                <w:szCs w:val="21"/>
              </w:rPr>
            </w:pPr>
          </w:p>
        </w:tc>
        <w:tc>
          <w:tcPr>
            <w:tcW w:w="545" w:type="pct"/>
            <w:vAlign w:val="center"/>
          </w:tcPr>
          <w:p>
            <w:pPr>
              <w:jc w:val="center"/>
              <w:rPr>
                <w:rFonts w:ascii="宋体" w:hAnsi="宋体"/>
                <w:kern w:val="0"/>
                <w:sz w:val="20"/>
                <w:szCs w:val="21"/>
              </w:rPr>
            </w:pPr>
          </w:p>
        </w:tc>
        <w:tc>
          <w:tcPr>
            <w:tcW w:w="494" w:type="pct"/>
            <w:vAlign w:val="center"/>
          </w:tcPr>
          <w:p>
            <w:pPr>
              <w:jc w:val="center"/>
              <w:rPr>
                <w:rFonts w:ascii="宋体" w:hAnsi="宋体"/>
                <w:kern w:val="0"/>
                <w:sz w:val="20"/>
                <w:szCs w:val="21"/>
              </w:rPr>
            </w:pPr>
          </w:p>
        </w:tc>
      </w:tr>
    </w:tbl>
    <w:p>
      <w:pPr>
        <w:numPr>
          <w:ilvl w:val="0"/>
          <w:numId w:val="0"/>
        </w:numPr>
        <w:spacing w:line="360" w:lineRule="auto"/>
        <w:ind w:leftChars="0" w:firstLine="241" w:firstLineChars="100"/>
        <w:rPr>
          <w:rFonts w:hint="eastAsia"/>
          <w:b/>
          <w:bCs/>
          <w:sz w:val="24"/>
          <w:lang w:val="en-US" w:eastAsia="zh-CN"/>
        </w:rPr>
      </w:pPr>
      <w:r>
        <w:rPr>
          <w:rFonts w:hint="eastAsia"/>
          <w:b/>
          <w:bCs/>
          <w:sz w:val="24"/>
          <w:lang w:val="en-US" w:eastAsia="zh-CN"/>
        </w:rPr>
        <w:t>合同包二：多媒体扩音设备</w:t>
      </w:r>
    </w:p>
    <w:tbl>
      <w:tblPr>
        <w:tblStyle w:val="12"/>
        <w:tblpPr w:leftFromText="180" w:rightFromText="180" w:vertAnchor="text" w:tblpXSpec="center" w:tblpY="1"/>
        <w:tblOverlap w:val="never"/>
        <w:tblW w:w="51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091"/>
        <w:gridCol w:w="4439"/>
        <w:gridCol w:w="770"/>
        <w:gridCol w:w="1019"/>
        <w:gridCol w:w="1131"/>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320" w:type="pct"/>
            <w:tcBorders>
              <w:top w:val="single" w:color="000000" w:sz="4" w:space="0"/>
              <w:left w:val="single" w:color="000000" w:sz="4" w:space="0"/>
              <w:bottom w:val="single" w:color="000000" w:sz="4" w:space="0"/>
              <w:right w:val="single" w:color="000000" w:sz="4" w:space="0"/>
            </w:tcBorders>
            <w:vAlign w:val="center"/>
          </w:tcPr>
          <w:p>
            <w:pPr>
              <w:ind w:firstLine="200" w:firstLineChars="100"/>
              <w:jc w:val="both"/>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充电底座含话筒</w:t>
            </w:r>
          </w:p>
        </w:tc>
        <w:tc>
          <w:tcPr>
            <w:tcW w:w="2204" w:type="pct"/>
            <w:tcBorders>
              <w:top w:val="single" w:color="auto" w:sz="4" w:space="0"/>
              <w:left w:val="single" w:color="000000" w:sz="4" w:space="0"/>
              <w:bottom w:val="single" w:color="auto" w:sz="4" w:space="0"/>
              <w:right w:val="single" w:color="000000" w:sz="4" w:space="0"/>
            </w:tcBorders>
            <w:vAlign w:val="center"/>
          </w:tcPr>
          <w:p>
            <w:pPr>
              <w:jc w:val="left"/>
              <w:rPr>
                <w:rFonts w:ascii="宋体" w:hAnsi="宋体"/>
                <w:kern w:val="0"/>
                <w:sz w:val="20"/>
                <w:szCs w:val="21"/>
              </w:rPr>
            </w:pPr>
            <w:r>
              <w:rPr>
                <w:rFonts w:hint="eastAsia" w:ascii="宋体" w:hAnsi="宋体"/>
                <w:kern w:val="0"/>
                <w:sz w:val="20"/>
                <w:szCs w:val="21"/>
              </w:rPr>
              <w:t>1.工业工程塑料注塑成型外壳，支持桌面、壁挂或嵌入桌面等安装方式；</w:t>
            </w:r>
          </w:p>
          <w:p>
            <w:pPr>
              <w:jc w:val="left"/>
              <w:rPr>
                <w:rFonts w:ascii="宋体" w:hAnsi="宋体"/>
                <w:kern w:val="0"/>
                <w:sz w:val="20"/>
                <w:szCs w:val="21"/>
              </w:rPr>
            </w:pPr>
            <w:r>
              <w:rPr>
                <w:rFonts w:hint="eastAsia" w:ascii="宋体" w:hAnsi="宋体"/>
                <w:kern w:val="0"/>
                <w:sz w:val="20"/>
                <w:szCs w:val="21"/>
              </w:rPr>
              <w:t>2.底座自带红外手势感应</w:t>
            </w:r>
            <w:r>
              <w:rPr>
                <w:rFonts w:hint="eastAsia" w:ascii="宋体" w:hAnsi="宋体"/>
                <w:kern w:val="0"/>
                <w:sz w:val="20"/>
                <w:szCs w:val="21"/>
                <w:lang w:val="en-US" w:eastAsia="zh-CN"/>
              </w:rPr>
              <w:t>或按键</w:t>
            </w:r>
            <w:r>
              <w:rPr>
                <w:rFonts w:hint="eastAsia" w:ascii="宋体" w:hAnsi="宋体"/>
                <w:kern w:val="0"/>
                <w:sz w:val="20"/>
                <w:szCs w:val="21"/>
              </w:rPr>
              <w:t>解锁功能</w:t>
            </w:r>
            <w:r>
              <w:rPr>
                <w:rFonts w:hint="eastAsia" w:ascii="宋体" w:hAnsi="宋体"/>
                <w:kern w:val="0"/>
                <w:sz w:val="20"/>
                <w:szCs w:val="21"/>
                <w:lang w:eastAsia="zh-CN"/>
              </w:rPr>
              <w:t>；</w:t>
            </w:r>
          </w:p>
          <w:p>
            <w:pPr>
              <w:jc w:val="left"/>
              <w:rPr>
                <w:rFonts w:ascii="宋体" w:hAnsi="宋体"/>
                <w:kern w:val="0"/>
                <w:sz w:val="20"/>
                <w:szCs w:val="21"/>
              </w:rPr>
            </w:pPr>
            <w:r>
              <w:rPr>
                <w:rFonts w:hint="eastAsia" w:ascii="宋体" w:hAnsi="宋体"/>
                <w:kern w:val="0"/>
                <w:sz w:val="20"/>
                <w:szCs w:val="21"/>
              </w:rPr>
              <w:t>3.记忆功能：当手持话筒第一次开机对频成功使用，话筒放回充电底座时，话筒会自动关机，当通过权限解锁取出话筒后，话筒会自动开机，且自动根据上一次使用的对频频率自动匹配，匹配时间≤2S,减少开机操作的步骤，缩短对频的时间；</w:t>
            </w:r>
          </w:p>
          <w:p>
            <w:pPr>
              <w:jc w:val="left"/>
              <w:rPr>
                <w:rFonts w:ascii="宋体" w:hAnsi="宋体"/>
                <w:kern w:val="0"/>
                <w:sz w:val="20"/>
                <w:szCs w:val="21"/>
              </w:rPr>
            </w:pPr>
            <w:r>
              <w:rPr>
                <w:rFonts w:hint="eastAsia" w:ascii="宋体" w:hAnsi="宋体"/>
                <w:kern w:val="0"/>
                <w:sz w:val="20"/>
                <w:szCs w:val="21"/>
              </w:rPr>
              <w:t>4.集成可选长度的带指示灯鹅颈话筒，长度≥60CM，并具备单独的鹅颈话筒开关按钮；</w:t>
            </w:r>
          </w:p>
          <w:p>
            <w:pPr>
              <w:jc w:val="left"/>
              <w:rPr>
                <w:rFonts w:ascii="宋体" w:hAnsi="宋体"/>
                <w:kern w:val="0"/>
                <w:sz w:val="20"/>
                <w:szCs w:val="21"/>
              </w:rPr>
            </w:pPr>
            <w:r>
              <w:rPr>
                <w:rFonts w:hint="eastAsia" w:ascii="宋体" w:hAnsi="宋体"/>
                <w:kern w:val="0"/>
                <w:sz w:val="20"/>
                <w:szCs w:val="21"/>
              </w:rPr>
              <w:t>5.底座充电槽具有磁吸充电功能</w:t>
            </w:r>
            <w:r>
              <w:rPr>
                <w:rFonts w:hint="eastAsia" w:ascii="宋体" w:hAnsi="宋体"/>
                <w:kern w:val="0"/>
                <w:sz w:val="20"/>
                <w:szCs w:val="21"/>
                <w:lang w:val="en-US" w:eastAsia="zh-CN"/>
              </w:rPr>
              <w:t>或无线充电功能</w:t>
            </w:r>
            <w:r>
              <w:rPr>
                <w:rFonts w:hint="eastAsia" w:ascii="宋体" w:hAnsi="宋体"/>
                <w:kern w:val="0"/>
                <w:sz w:val="20"/>
                <w:szCs w:val="21"/>
              </w:rPr>
              <w:t>，杜绝话筒没放好时充不上电的隐患</w:t>
            </w:r>
          </w:p>
          <w:p>
            <w:pPr>
              <w:jc w:val="left"/>
              <w:rPr>
                <w:rFonts w:ascii="宋体" w:hAnsi="宋体"/>
                <w:kern w:val="0"/>
                <w:sz w:val="20"/>
                <w:szCs w:val="21"/>
              </w:rPr>
            </w:pPr>
            <w:r>
              <w:rPr>
                <w:rFonts w:hint="eastAsia" w:ascii="宋体" w:hAnsi="宋体"/>
                <w:kern w:val="0"/>
                <w:sz w:val="20"/>
                <w:szCs w:val="21"/>
              </w:rPr>
              <w:t>6.支持≥2路话筒同时使用，包括但不限于手持话筒，鹅颈麦；</w:t>
            </w:r>
          </w:p>
          <w:p>
            <w:pPr>
              <w:jc w:val="left"/>
              <w:rPr>
                <w:rFonts w:ascii="宋体" w:hAnsi="宋体"/>
                <w:kern w:val="0"/>
                <w:sz w:val="20"/>
                <w:szCs w:val="21"/>
              </w:rPr>
            </w:pPr>
            <w:r>
              <w:rPr>
                <w:rFonts w:hint="eastAsia" w:ascii="宋体" w:hAnsi="宋体"/>
                <w:kern w:val="0"/>
                <w:sz w:val="20"/>
                <w:szCs w:val="21"/>
              </w:rPr>
              <w:t>7.接口：≥1路DC12V电源输入、≥1路RJ45口、音频输出口≥2路。</w:t>
            </w:r>
          </w:p>
          <w:p>
            <w:pPr>
              <w:jc w:val="left"/>
              <w:rPr>
                <w:rFonts w:ascii="宋体" w:hAnsi="宋体"/>
                <w:kern w:val="0"/>
                <w:sz w:val="20"/>
                <w:szCs w:val="21"/>
              </w:rPr>
            </w:pPr>
            <w:r>
              <w:rPr>
                <w:rFonts w:hint="eastAsia" w:ascii="宋体" w:hAnsi="宋体"/>
                <w:kern w:val="0"/>
                <w:sz w:val="20"/>
                <w:szCs w:val="21"/>
              </w:rPr>
              <w:t>8.与学校现有的物联网智能教室管理云平台（控捷、得实）连接。可远程控制底座的开锁/闭锁，且通过网络，平台可直观显示话筒的在线，离线，充电等各种状态，提供生产厂家技术对接函。</w:t>
            </w:r>
          </w:p>
          <w:p>
            <w:pPr>
              <w:jc w:val="left"/>
              <w:rPr>
                <w:rFonts w:ascii="宋体" w:hAnsi="宋体"/>
                <w:kern w:val="0"/>
                <w:sz w:val="20"/>
                <w:szCs w:val="21"/>
              </w:rPr>
            </w:pPr>
            <w:r>
              <w:rPr>
                <w:rFonts w:hint="eastAsia" w:ascii="宋体" w:hAnsi="宋体"/>
                <w:kern w:val="0"/>
                <w:sz w:val="20"/>
                <w:szCs w:val="21"/>
              </w:rPr>
              <w:t>9.</w:t>
            </w:r>
            <w:r>
              <w:rPr>
                <w:rFonts w:hint="eastAsia" w:ascii="宋体" w:hAnsi="宋体"/>
                <w:kern w:val="0"/>
                <w:sz w:val="20"/>
                <w:szCs w:val="21"/>
                <w:lang w:val="en-US" w:eastAsia="zh-CN"/>
              </w:rPr>
              <w:t>提供</w:t>
            </w:r>
            <w:r>
              <w:rPr>
                <w:rFonts w:hint="eastAsia" w:ascii="宋体" w:hAnsi="宋体"/>
                <w:kern w:val="0"/>
                <w:sz w:val="20"/>
                <w:szCs w:val="21"/>
              </w:rPr>
              <w:t>产品检测报告</w:t>
            </w:r>
            <w:r>
              <w:rPr>
                <w:rFonts w:hint="eastAsia" w:ascii="宋体" w:hAnsi="宋体"/>
                <w:kern w:val="0"/>
                <w:sz w:val="20"/>
                <w:szCs w:val="21"/>
                <w:lang w:eastAsia="zh-CN"/>
              </w:rPr>
              <w:t>，</w:t>
            </w:r>
            <w:r>
              <w:rPr>
                <w:rFonts w:hint="eastAsia" w:ascii="宋体" w:hAnsi="宋体"/>
                <w:kern w:val="0"/>
                <w:sz w:val="20"/>
                <w:szCs w:val="21"/>
                <w:lang w:val="en-US" w:eastAsia="zh-CN"/>
              </w:rPr>
              <w:t>提供产品彩页</w:t>
            </w:r>
            <w:r>
              <w:rPr>
                <w:rFonts w:hint="eastAsia" w:ascii="宋体" w:hAnsi="宋体"/>
                <w:kern w:val="0"/>
                <w:sz w:val="20"/>
                <w:szCs w:val="21"/>
              </w:rPr>
              <w:t>；</w:t>
            </w:r>
          </w:p>
          <w:p>
            <w:pPr>
              <w:jc w:val="left"/>
              <w:rPr>
                <w:rFonts w:ascii="宋体" w:hAnsi="宋体"/>
                <w:kern w:val="0"/>
                <w:sz w:val="20"/>
                <w:szCs w:val="21"/>
              </w:rPr>
            </w:pPr>
            <w:r>
              <w:rPr>
                <w:rFonts w:hint="eastAsia" w:ascii="宋体" w:hAnsi="宋体"/>
                <w:kern w:val="0"/>
                <w:sz w:val="20"/>
                <w:szCs w:val="21"/>
              </w:rPr>
              <w:t>1</w:t>
            </w:r>
            <w:r>
              <w:rPr>
                <w:rFonts w:hint="eastAsia" w:ascii="宋体" w:hAnsi="宋体"/>
                <w:kern w:val="0"/>
                <w:sz w:val="20"/>
                <w:szCs w:val="21"/>
                <w:lang w:val="en-US" w:eastAsia="zh-CN"/>
              </w:rPr>
              <w:t>0</w:t>
            </w:r>
            <w:r>
              <w:rPr>
                <w:rFonts w:hint="eastAsia" w:ascii="宋体" w:hAnsi="宋体"/>
                <w:kern w:val="0"/>
                <w:sz w:val="20"/>
                <w:szCs w:val="21"/>
              </w:rPr>
              <w:t>.放置地点：主</w:t>
            </w:r>
            <w:r>
              <w:rPr>
                <w:rFonts w:ascii="宋体" w:hAnsi="宋体"/>
                <w:kern w:val="0"/>
                <w:sz w:val="20"/>
                <w:szCs w:val="21"/>
              </w:rPr>
              <w:t>5</w:t>
            </w:r>
            <w:r>
              <w:rPr>
                <w:rFonts w:hint="eastAsia" w:ascii="宋体" w:hAnsi="宋体"/>
                <w:kern w:val="0"/>
                <w:sz w:val="20"/>
                <w:szCs w:val="21"/>
              </w:rPr>
              <w:t>#310、311、314、401、402、406、408、411、417、418、501、502、506、508、511、512、516、517。</w:t>
            </w:r>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18套</w:t>
            </w:r>
          </w:p>
        </w:tc>
        <w:tc>
          <w:tcPr>
            <w:tcW w:w="5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32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kern w:val="0"/>
                <w:sz w:val="20"/>
                <w:szCs w:val="21"/>
                <w:lang w:eastAsia="zh-CN"/>
              </w:rPr>
            </w:pPr>
            <w:r>
              <w:rPr>
                <w:rFonts w:hint="eastAsia" w:ascii="宋体" w:hAnsi="宋体"/>
                <w:kern w:val="0"/>
                <w:sz w:val="20"/>
                <w:szCs w:val="21"/>
                <w:lang w:val="en-US" w:eastAsia="zh-CN"/>
              </w:rPr>
              <w:t>2</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功放</w:t>
            </w:r>
          </w:p>
        </w:tc>
        <w:tc>
          <w:tcPr>
            <w:tcW w:w="2204" w:type="pct"/>
            <w:tcBorders>
              <w:top w:val="single" w:color="auto" w:sz="4" w:space="0"/>
              <w:left w:val="single" w:color="000000" w:sz="4" w:space="0"/>
              <w:bottom w:val="single" w:color="auto" w:sz="4" w:space="0"/>
              <w:right w:val="single" w:color="000000" w:sz="4" w:space="0"/>
            </w:tcBorders>
            <w:vAlign w:val="center"/>
          </w:tcPr>
          <w:p>
            <w:pPr>
              <w:jc w:val="left"/>
              <w:rPr>
                <w:rFonts w:ascii="宋体" w:hAnsi="宋体"/>
                <w:kern w:val="0"/>
                <w:sz w:val="20"/>
                <w:szCs w:val="21"/>
              </w:rPr>
            </w:pPr>
            <w:r>
              <w:rPr>
                <w:rFonts w:hint="eastAsia" w:ascii="宋体" w:hAnsi="宋体"/>
                <w:kern w:val="0"/>
                <w:sz w:val="20"/>
                <w:szCs w:val="21"/>
              </w:rPr>
              <w:t>1.推荐品牌：惠威、ITC、得胜。</w:t>
            </w:r>
          </w:p>
          <w:p>
            <w:pPr>
              <w:jc w:val="left"/>
              <w:rPr>
                <w:rFonts w:ascii="宋体" w:hAnsi="宋体"/>
                <w:kern w:val="0"/>
                <w:sz w:val="20"/>
                <w:szCs w:val="21"/>
              </w:rPr>
            </w:pPr>
            <w:r>
              <w:rPr>
                <w:rFonts w:hint="eastAsia" w:ascii="宋体" w:hAnsi="宋体"/>
                <w:kern w:val="0"/>
                <w:sz w:val="20"/>
                <w:szCs w:val="21"/>
              </w:rPr>
              <w:t>2.额定功率：240W。</w:t>
            </w:r>
          </w:p>
          <w:p>
            <w:pPr>
              <w:jc w:val="left"/>
              <w:rPr>
                <w:rFonts w:ascii="宋体" w:hAnsi="宋体"/>
                <w:color w:val="FF0000"/>
                <w:kern w:val="0"/>
                <w:sz w:val="20"/>
                <w:szCs w:val="21"/>
              </w:rPr>
            </w:pPr>
            <w:r>
              <w:rPr>
                <w:rFonts w:hint="eastAsia" w:ascii="宋体" w:hAnsi="宋体"/>
                <w:color w:val="auto"/>
                <w:kern w:val="0"/>
                <w:sz w:val="20"/>
                <w:szCs w:val="21"/>
              </w:rPr>
              <w:t>3.提供100V/70V定压输出。</w:t>
            </w:r>
          </w:p>
          <w:p>
            <w:pPr>
              <w:jc w:val="left"/>
              <w:rPr>
                <w:rFonts w:ascii="宋体" w:hAnsi="宋体"/>
                <w:kern w:val="0"/>
                <w:sz w:val="20"/>
                <w:szCs w:val="21"/>
              </w:rPr>
            </w:pPr>
            <w:r>
              <w:rPr>
                <w:rFonts w:hint="eastAsia" w:ascii="宋体" w:hAnsi="宋体"/>
                <w:kern w:val="0"/>
                <w:sz w:val="20"/>
                <w:szCs w:val="21"/>
              </w:rPr>
              <w:t>4.3路MIC、2路AUX输入。</w:t>
            </w:r>
          </w:p>
          <w:p>
            <w:pPr>
              <w:jc w:val="left"/>
              <w:rPr>
                <w:rFonts w:ascii="宋体" w:hAnsi="宋体"/>
                <w:kern w:val="0"/>
                <w:sz w:val="20"/>
                <w:szCs w:val="21"/>
              </w:rPr>
            </w:pPr>
            <w:r>
              <w:rPr>
                <w:rFonts w:hint="eastAsia" w:ascii="宋体" w:hAnsi="宋体"/>
                <w:kern w:val="0"/>
                <w:sz w:val="20"/>
                <w:szCs w:val="21"/>
              </w:rPr>
              <w:t>5.输入灵敏度AUX250mV(非平衡)MIC5mV(非平衡)。</w:t>
            </w:r>
          </w:p>
          <w:p>
            <w:pPr>
              <w:jc w:val="left"/>
              <w:rPr>
                <w:rFonts w:ascii="宋体" w:hAnsi="宋体"/>
                <w:kern w:val="0"/>
                <w:sz w:val="20"/>
                <w:szCs w:val="21"/>
              </w:rPr>
            </w:pPr>
            <w:r>
              <w:rPr>
                <w:rFonts w:hint="eastAsia" w:ascii="宋体" w:hAnsi="宋体"/>
                <w:kern w:val="0"/>
                <w:sz w:val="20"/>
                <w:szCs w:val="21"/>
              </w:rPr>
              <w:t>6.音量调整旋钮 BASS: +10dB TREBLE: +10dB。</w:t>
            </w:r>
          </w:p>
          <w:p>
            <w:pPr>
              <w:jc w:val="left"/>
              <w:rPr>
                <w:rFonts w:ascii="宋体" w:hAnsi="宋体"/>
                <w:kern w:val="0"/>
                <w:sz w:val="20"/>
                <w:szCs w:val="21"/>
              </w:rPr>
            </w:pPr>
            <w:r>
              <w:rPr>
                <w:rFonts w:hint="eastAsia" w:ascii="宋体" w:hAnsi="宋体"/>
                <w:kern w:val="0"/>
                <w:sz w:val="20"/>
                <w:szCs w:val="21"/>
              </w:rPr>
              <w:t>7.线性失真 ≤1%(100%功率)。</w:t>
            </w:r>
          </w:p>
          <w:p>
            <w:pPr>
              <w:jc w:val="left"/>
              <w:rPr>
                <w:rFonts w:ascii="宋体" w:hAnsi="宋体"/>
                <w:kern w:val="0"/>
                <w:sz w:val="20"/>
                <w:szCs w:val="21"/>
              </w:rPr>
            </w:pPr>
            <w:r>
              <w:rPr>
                <w:rFonts w:hint="eastAsia" w:ascii="宋体" w:hAnsi="宋体"/>
                <w:kern w:val="0"/>
                <w:sz w:val="20"/>
                <w:szCs w:val="21"/>
              </w:rPr>
              <w:t>8.信噪比 LINE&gt;65dB MIC&gt;65dB。</w:t>
            </w:r>
          </w:p>
          <w:p>
            <w:pPr>
              <w:jc w:val="left"/>
              <w:rPr>
                <w:rFonts w:ascii="宋体" w:hAnsi="宋体"/>
                <w:kern w:val="0"/>
                <w:sz w:val="20"/>
                <w:szCs w:val="21"/>
              </w:rPr>
            </w:pPr>
            <w:r>
              <w:rPr>
                <w:rFonts w:hint="eastAsia" w:ascii="宋体" w:hAnsi="宋体"/>
                <w:kern w:val="0"/>
                <w:sz w:val="20"/>
                <w:szCs w:val="21"/>
              </w:rPr>
              <w:t>9.频率响应 70Hz-18KHz(+3dB)。</w:t>
            </w:r>
          </w:p>
          <w:p>
            <w:pPr>
              <w:jc w:val="left"/>
              <w:rPr>
                <w:rFonts w:ascii="宋体" w:hAnsi="宋体"/>
                <w:kern w:val="0"/>
                <w:sz w:val="20"/>
                <w:szCs w:val="21"/>
              </w:rPr>
            </w:pPr>
            <w:r>
              <w:rPr>
                <w:rFonts w:hint="eastAsia" w:ascii="宋体" w:hAnsi="宋体"/>
                <w:kern w:val="0"/>
                <w:sz w:val="20"/>
                <w:szCs w:val="21"/>
              </w:rPr>
              <w:t>10.输出调整率 &lt;3dB。</w:t>
            </w:r>
          </w:p>
          <w:p>
            <w:pPr>
              <w:jc w:val="left"/>
              <w:rPr>
                <w:rFonts w:ascii="宋体" w:hAnsi="宋体"/>
                <w:kern w:val="0"/>
                <w:sz w:val="20"/>
                <w:szCs w:val="21"/>
              </w:rPr>
            </w:pPr>
            <w:r>
              <w:rPr>
                <w:rFonts w:hint="eastAsia" w:ascii="宋体" w:hAnsi="宋体"/>
                <w:kern w:val="0"/>
                <w:sz w:val="20"/>
                <w:szCs w:val="21"/>
              </w:rPr>
              <w:t>11.辅助输出 非平衡0.775V。</w:t>
            </w:r>
          </w:p>
          <w:p>
            <w:pPr>
              <w:jc w:val="left"/>
              <w:rPr>
                <w:rFonts w:ascii="宋体" w:hAnsi="宋体" w:cs="宋体"/>
                <w:kern w:val="0"/>
                <w:sz w:val="20"/>
                <w:szCs w:val="21"/>
              </w:rPr>
            </w:pPr>
            <w:r>
              <w:rPr>
                <w:rFonts w:ascii="宋体" w:hAnsi="宋体"/>
                <w:kern w:val="0"/>
                <w:sz w:val="20"/>
                <w:szCs w:val="21"/>
              </w:rPr>
              <w:t>12.</w:t>
            </w:r>
            <w:r>
              <w:rPr>
                <w:rFonts w:hint="eastAsia" w:ascii="宋体" w:hAnsi="宋体"/>
                <w:kern w:val="0"/>
                <w:sz w:val="20"/>
                <w:szCs w:val="21"/>
              </w:rPr>
              <w:t>过载保护、短路保护、过温保护。</w:t>
            </w:r>
          </w:p>
          <w:p>
            <w:pPr>
              <w:jc w:val="left"/>
              <w:rPr>
                <w:rFonts w:ascii="宋体" w:hAnsi="宋体"/>
                <w:kern w:val="0"/>
                <w:sz w:val="20"/>
                <w:szCs w:val="21"/>
              </w:rPr>
            </w:pPr>
            <w:r>
              <w:rPr>
                <w:rFonts w:ascii="宋体" w:hAnsi="宋体"/>
                <w:kern w:val="0"/>
                <w:sz w:val="20"/>
                <w:szCs w:val="21"/>
              </w:rPr>
              <w:t>13.</w:t>
            </w:r>
            <w:r>
              <w:rPr>
                <w:rFonts w:hint="eastAsia" w:ascii="宋体" w:hAnsi="宋体"/>
                <w:kern w:val="0"/>
                <w:sz w:val="20"/>
                <w:szCs w:val="21"/>
              </w:rPr>
              <w:t>保修期≥</w:t>
            </w:r>
            <w:r>
              <w:rPr>
                <w:rFonts w:ascii="宋体" w:hAnsi="宋体"/>
                <w:kern w:val="0"/>
                <w:sz w:val="20"/>
                <w:szCs w:val="21"/>
              </w:rPr>
              <w:t>3</w:t>
            </w:r>
            <w:r>
              <w:rPr>
                <w:rFonts w:hint="eastAsia" w:ascii="宋体" w:hAnsi="宋体"/>
                <w:kern w:val="0"/>
                <w:sz w:val="20"/>
                <w:szCs w:val="21"/>
              </w:rPr>
              <w:t>年。</w:t>
            </w:r>
          </w:p>
          <w:p>
            <w:pPr>
              <w:spacing w:line="300" w:lineRule="exact"/>
              <w:jc w:val="left"/>
              <w:rPr>
                <w:rFonts w:ascii="宋体" w:hAnsi="宋体"/>
                <w:kern w:val="0"/>
                <w:sz w:val="20"/>
                <w:szCs w:val="21"/>
              </w:rPr>
            </w:pPr>
            <w:r>
              <w:rPr>
                <w:rFonts w:hint="eastAsia" w:ascii="宋体" w:hAnsi="宋体"/>
                <w:kern w:val="0"/>
                <w:sz w:val="20"/>
                <w:szCs w:val="21"/>
              </w:rPr>
              <w:t>14.放置地点：主</w:t>
            </w:r>
            <w:r>
              <w:rPr>
                <w:rFonts w:ascii="宋体" w:hAnsi="宋体"/>
                <w:kern w:val="0"/>
                <w:sz w:val="20"/>
                <w:szCs w:val="21"/>
              </w:rPr>
              <w:t>5</w:t>
            </w:r>
            <w:r>
              <w:rPr>
                <w:rFonts w:hint="eastAsia" w:ascii="宋体" w:hAnsi="宋体"/>
                <w:kern w:val="0"/>
                <w:sz w:val="20"/>
                <w:szCs w:val="21"/>
              </w:rPr>
              <w:t>#310、311、314、401、402、406、408、411、417、418、501、502、506、508、511、512、516、517。</w:t>
            </w:r>
            <w:bookmarkStart w:id="35" w:name="_GoBack"/>
            <w:bookmarkEnd w:id="35"/>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ascii="宋体" w:hAnsi="宋体"/>
                <w:kern w:val="0"/>
                <w:sz w:val="20"/>
                <w:szCs w:val="21"/>
              </w:rPr>
              <w:t>18</w:t>
            </w:r>
            <w:r>
              <w:rPr>
                <w:rFonts w:hint="eastAsia" w:ascii="宋体" w:hAnsi="宋体"/>
                <w:kern w:val="0"/>
                <w:sz w:val="20"/>
                <w:szCs w:val="21"/>
              </w:rPr>
              <w:t>台</w:t>
            </w:r>
          </w:p>
        </w:tc>
        <w:tc>
          <w:tcPr>
            <w:tcW w:w="5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jc w:val="center"/>
        </w:trPr>
        <w:tc>
          <w:tcPr>
            <w:tcW w:w="32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kern w:val="0"/>
                <w:sz w:val="20"/>
                <w:szCs w:val="21"/>
                <w:lang w:eastAsia="zh-CN"/>
              </w:rPr>
            </w:pPr>
            <w:r>
              <w:rPr>
                <w:rFonts w:hint="eastAsia" w:ascii="宋体" w:hAnsi="宋体"/>
                <w:kern w:val="0"/>
                <w:sz w:val="20"/>
                <w:szCs w:val="21"/>
                <w:lang w:val="en-US" w:eastAsia="zh-CN"/>
              </w:rPr>
              <w:t>3</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音箱</w:t>
            </w:r>
          </w:p>
        </w:tc>
        <w:tc>
          <w:tcPr>
            <w:tcW w:w="2204" w:type="pct"/>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ascii="宋体" w:hAnsi="宋体"/>
                <w:kern w:val="0"/>
                <w:sz w:val="20"/>
                <w:szCs w:val="21"/>
              </w:rPr>
            </w:pPr>
            <w:r>
              <w:rPr>
                <w:rFonts w:hint="eastAsia" w:ascii="宋体" w:hAnsi="宋体"/>
                <w:kern w:val="0"/>
                <w:sz w:val="20"/>
                <w:szCs w:val="21"/>
              </w:rPr>
              <w:t>1.推荐品牌：惠威、ITC、得胜。</w:t>
            </w:r>
          </w:p>
          <w:p>
            <w:pPr>
              <w:spacing w:line="300" w:lineRule="exact"/>
              <w:jc w:val="left"/>
              <w:rPr>
                <w:rFonts w:ascii="宋体" w:hAnsi="宋体"/>
                <w:kern w:val="0"/>
                <w:sz w:val="20"/>
                <w:szCs w:val="21"/>
              </w:rPr>
            </w:pPr>
            <w:r>
              <w:rPr>
                <w:rFonts w:hint="eastAsia" w:ascii="宋体" w:hAnsi="宋体"/>
                <w:kern w:val="0"/>
                <w:sz w:val="20"/>
                <w:szCs w:val="21"/>
              </w:rPr>
              <w:t>2.全天候设计(防潮、耐热、耐盐、抗硫)，可在多种特殊环境下长期使用。</w:t>
            </w:r>
          </w:p>
          <w:p>
            <w:pPr>
              <w:spacing w:line="300" w:lineRule="exact"/>
              <w:jc w:val="left"/>
              <w:rPr>
                <w:rFonts w:ascii="宋体" w:hAnsi="宋体"/>
                <w:kern w:val="0"/>
                <w:sz w:val="20"/>
                <w:szCs w:val="21"/>
              </w:rPr>
            </w:pPr>
            <w:r>
              <w:rPr>
                <w:rFonts w:hint="eastAsia" w:ascii="宋体" w:hAnsi="宋体"/>
                <w:kern w:val="0"/>
                <w:sz w:val="20"/>
                <w:szCs w:val="21"/>
              </w:rPr>
              <w:t>3.高灵敏度、高声压级设计，宽广的频响覆盖范围，声音清晰纯净，轻松应对各种背景音乐和语音扩声需求。</w:t>
            </w:r>
          </w:p>
          <w:p>
            <w:pPr>
              <w:spacing w:line="300" w:lineRule="exact"/>
              <w:jc w:val="left"/>
              <w:rPr>
                <w:rFonts w:ascii="宋体" w:hAnsi="宋体"/>
                <w:kern w:val="0"/>
                <w:sz w:val="20"/>
                <w:szCs w:val="21"/>
              </w:rPr>
            </w:pPr>
            <w:r>
              <w:rPr>
                <w:rFonts w:hint="eastAsia" w:ascii="宋体" w:hAnsi="宋体"/>
                <w:kern w:val="0"/>
                <w:sz w:val="20"/>
                <w:szCs w:val="21"/>
              </w:rPr>
              <w:t>4.喇叭口径 4"x32"x1。</w:t>
            </w:r>
          </w:p>
          <w:p>
            <w:pPr>
              <w:spacing w:line="300" w:lineRule="exact"/>
              <w:jc w:val="left"/>
              <w:rPr>
                <w:rFonts w:ascii="宋体" w:hAnsi="宋体"/>
                <w:color w:val="auto"/>
                <w:kern w:val="0"/>
                <w:sz w:val="20"/>
                <w:szCs w:val="21"/>
              </w:rPr>
            </w:pPr>
            <w:r>
              <w:rPr>
                <w:rFonts w:hint="eastAsia" w:ascii="宋体" w:hAnsi="宋体"/>
                <w:kern w:val="0"/>
                <w:sz w:val="20"/>
                <w:szCs w:val="21"/>
              </w:rPr>
              <w:t>5.额定功</w:t>
            </w:r>
            <w:r>
              <w:rPr>
                <w:rFonts w:hint="eastAsia" w:ascii="宋体" w:hAnsi="宋体"/>
                <w:color w:val="auto"/>
                <w:kern w:val="0"/>
                <w:sz w:val="20"/>
                <w:szCs w:val="21"/>
              </w:rPr>
              <w:t>率≥30W。</w:t>
            </w:r>
          </w:p>
          <w:p>
            <w:pPr>
              <w:spacing w:line="300" w:lineRule="exact"/>
              <w:jc w:val="left"/>
              <w:rPr>
                <w:rFonts w:ascii="宋体" w:hAnsi="宋体"/>
                <w:color w:val="auto"/>
                <w:kern w:val="0"/>
                <w:sz w:val="20"/>
                <w:szCs w:val="21"/>
              </w:rPr>
            </w:pPr>
            <w:r>
              <w:rPr>
                <w:rFonts w:hint="eastAsia" w:ascii="宋体" w:hAnsi="宋体"/>
                <w:color w:val="auto"/>
                <w:kern w:val="0"/>
                <w:sz w:val="20"/>
                <w:szCs w:val="21"/>
              </w:rPr>
              <w:t>6.最大功率≥60W。</w:t>
            </w:r>
          </w:p>
          <w:p>
            <w:pPr>
              <w:spacing w:line="300" w:lineRule="exact"/>
              <w:jc w:val="left"/>
              <w:rPr>
                <w:rFonts w:ascii="宋体" w:hAnsi="宋体"/>
                <w:kern w:val="0"/>
                <w:sz w:val="20"/>
                <w:szCs w:val="21"/>
              </w:rPr>
            </w:pPr>
            <w:r>
              <w:rPr>
                <w:rFonts w:hint="eastAsia" w:ascii="宋体" w:hAnsi="宋体"/>
                <w:kern w:val="0"/>
                <w:sz w:val="20"/>
                <w:szCs w:val="21"/>
              </w:rPr>
              <w:t>7.额定输入70V/100V。</w:t>
            </w:r>
          </w:p>
          <w:p>
            <w:pPr>
              <w:spacing w:line="300" w:lineRule="exact"/>
              <w:jc w:val="left"/>
              <w:rPr>
                <w:rFonts w:ascii="宋体" w:hAnsi="宋体"/>
                <w:kern w:val="0"/>
                <w:sz w:val="20"/>
                <w:szCs w:val="21"/>
              </w:rPr>
            </w:pPr>
            <w:r>
              <w:rPr>
                <w:rFonts w:hint="eastAsia" w:ascii="宋体" w:hAnsi="宋体"/>
                <w:kern w:val="0"/>
                <w:sz w:val="20"/>
                <w:szCs w:val="21"/>
              </w:rPr>
              <w:t>8.灵敏度 ≥88dB 。</w:t>
            </w:r>
          </w:p>
          <w:p>
            <w:pPr>
              <w:spacing w:line="300" w:lineRule="exact"/>
              <w:jc w:val="left"/>
              <w:rPr>
                <w:rFonts w:ascii="宋体" w:hAnsi="宋体"/>
                <w:color w:val="FF0000"/>
                <w:kern w:val="0"/>
                <w:sz w:val="20"/>
                <w:szCs w:val="21"/>
              </w:rPr>
            </w:pPr>
            <w:r>
              <w:rPr>
                <w:rFonts w:hint="eastAsia" w:ascii="宋体" w:hAnsi="宋体"/>
                <w:kern w:val="0"/>
                <w:sz w:val="20"/>
                <w:szCs w:val="21"/>
              </w:rPr>
              <w:t>9.频响</w:t>
            </w:r>
            <w:r>
              <w:rPr>
                <w:rFonts w:hint="eastAsia" w:ascii="宋体" w:hAnsi="宋体"/>
                <w:color w:val="auto"/>
                <w:kern w:val="0"/>
                <w:sz w:val="20"/>
                <w:szCs w:val="21"/>
              </w:rPr>
              <w:t xml:space="preserve">范围 </w:t>
            </w:r>
            <w:r>
              <w:rPr>
                <w:rFonts w:ascii="宋体" w:hAnsi="宋体"/>
                <w:color w:val="auto"/>
                <w:kern w:val="0"/>
                <w:sz w:val="20"/>
                <w:szCs w:val="21"/>
              </w:rPr>
              <w:t>70Hz—20KHz</w:t>
            </w:r>
            <w:r>
              <w:rPr>
                <w:rFonts w:hint="eastAsia" w:ascii="宋体" w:hAnsi="宋体"/>
                <w:color w:val="auto"/>
                <w:kern w:val="0"/>
                <w:sz w:val="20"/>
                <w:szCs w:val="21"/>
              </w:rPr>
              <w:t xml:space="preserve"> 。</w:t>
            </w:r>
            <w:r>
              <w:rPr>
                <w:rFonts w:hint="eastAsia" w:ascii="宋体" w:hAnsi="宋体"/>
                <w:kern w:val="0"/>
                <w:sz w:val="20"/>
                <w:szCs w:val="21"/>
              </w:rPr>
              <w:t xml:space="preserve"> </w:t>
            </w:r>
          </w:p>
          <w:p>
            <w:pPr>
              <w:spacing w:line="300" w:lineRule="exact"/>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0</w:t>
            </w:r>
            <w:r>
              <w:rPr>
                <w:rFonts w:hint="eastAsia" w:ascii="宋体" w:hAnsi="宋体"/>
                <w:kern w:val="0"/>
                <w:sz w:val="20"/>
                <w:szCs w:val="21"/>
              </w:rPr>
              <w:t>保修期≥3年。</w:t>
            </w:r>
          </w:p>
          <w:p>
            <w:pPr>
              <w:spacing w:line="300" w:lineRule="exact"/>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1</w:t>
            </w:r>
            <w:r>
              <w:rPr>
                <w:rFonts w:hint="eastAsia" w:ascii="宋体" w:hAnsi="宋体"/>
                <w:kern w:val="0"/>
                <w:sz w:val="20"/>
                <w:szCs w:val="21"/>
              </w:rPr>
              <w:t>放置地点：主</w:t>
            </w:r>
            <w:r>
              <w:rPr>
                <w:rFonts w:ascii="宋体" w:hAnsi="宋体"/>
                <w:kern w:val="0"/>
                <w:sz w:val="20"/>
                <w:szCs w:val="21"/>
              </w:rPr>
              <w:t>5</w:t>
            </w:r>
            <w:r>
              <w:rPr>
                <w:rFonts w:hint="eastAsia" w:ascii="宋体" w:hAnsi="宋体"/>
                <w:kern w:val="0"/>
                <w:sz w:val="20"/>
                <w:szCs w:val="21"/>
              </w:rPr>
              <w:t>#310、311、314、401、402、406、408、411、417、418、501、502、506、508、511、512、516、517。</w:t>
            </w:r>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ascii="宋体" w:hAnsi="宋体"/>
                <w:kern w:val="0"/>
                <w:sz w:val="20"/>
                <w:szCs w:val="21"/>
              </w:rPr>
              <w:t>5</w:t>
            </w:r>
            <w:r>
              <w:rPr>
                <w:rFonts w:hint="eastAsia" w:ascii="宋体" w:hAnsi="宋体"/>
                <w:kern w:val="0"/>
                <w:sz w:val="20"/>
                <w:szCs w:val="21"/>
              </w:rPr>
              <w:t>0只</w:t>
            </w:r>
          </w:p>
        </w:tc>
        <w:tc>
          <w:tcPr>
            <w:tcW w:w="5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jc w:val="center"/>
        </w:trPr>
        <w:tc>
          <w:tcPr>
            <w:tcW w:w="32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kern w:val="0"/>
                <w:sz w:val="20"/>
                <w:szCs w:val="21"/>
                <w:lang w:eastAsia="zh-CN"/>
              </w:rPr>
            </w:pPr>
            <w:r>
              <w:rPr>
                <w:rFonts w:hint="eastAsia" w:ascii="宋体" w:hAnsi="宋体"/>
                <w:kern w:val="0"/>
                <w:sz w:val="20"/>
                <w:szCs w:val="21"/>
                <w:lang w:val="en-US" w:eastAsia="zh-CN"/>
              </w:rPr>
              <w:t>4</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音箱布线</w:t>
            </w:r>
          </w:p>
        </w:tc>
        <w:tc>
          <w:tcPr>
            <w:tcW w:w="2204" w:type="pct"/>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ascii="宋体" w:hAnsi="宋体"/>
                <w:color w:val="FF0000"/>
                <w:kern w:val="0"/>
                <w:sz w:val="20"/>
                <w:szCs w:val="21"/>
              </w:rPr>
            </w:pPr>
            <w:r>
              <w:rPr>
                <w:rFonts w:ascii="宋体" w:hAnsi="宋体"/>
                <w:kern w:val="0"/>
                <w:sz w:val="20"/>
                <w:szCs w:val="21"/>
              </w:rPr>
              <w:t>1</w:t>
            </w:r>
            <w:r>
              <w:rPr>
                <w:rFonts w:hint="eastAsia" w:ascii="宋体" w:hAnsi="宋体"/>
                <w:color w:val="auto"/>
                <w:kern w:val="0"/>
                <w:sz w:val="20"/>
                <w:szCs w:val="21"/>
              </w:rPr>
              <w:t>.须拆除旧音箱及线后布音箱线，</w:t>
            </w:r>
            <w:r>
              <w:rPr>
                <w:rFonts w:hint="eastAsia" w:ascii="宋体" w:hAnsi="宋体"/>
                <w:kern w:val="0"/>
                <w:sz w:val="20"/>
                <w:szCs w:val="21"/>
              </w:rPr>
              <w:t>音频线必须为透明色线材尺寸Φ4.2/8.4mm(200C 及以上/0.10mm无氧铜)*2F。音箱须使用金属膨胀螺丝进行安装固定。配备中控到功放、话筒到功放1.5米音频线各1条、话筒接收器到电脑音频线1条。</w:t>
            </w:r>
            <w:r>
              <w:rPr>
                <w:rFonts w:hint="eastAsia" w:ascii="宋体" w:hAnsi="宋体"/>
                <w:color w:val="auto"/>
                <w:kern w:val="0"/>
                <w:sz w:val="20"/>
                <w:szCs w:val="21"/>
              </w:rPr>
              <w:t>线材参考品牌：安普、秋叶原、绿联、山泽。</w:t>
            </w:r>
          </w:p>
          <w:p>
            <w:pPr>
              <w:spacing w:line="300" w:lineRule="exact"/>
              <w:jc w:val="left"/>
              <w:rPr>
                <w:rFonts w:ascii="宋体" w:hAnsi="宋体"/>
                <w:kern w:val="0"/>
                <w:sz w:val="20"/>
                <w:szCs w:val="21"/>
              </w:rPr>
            </w:pPr>
            <w:r>
              <w:rPr>
                <w:rFonts w:ascii="宋体" w:hAnsi="宋体"/>
                <w:kern w:val="0"/>
                <w:sz w:val="20"/>
                <w:szCs w:val="21"/>
              </w:rPr>
              <w:t>2</w:t>
            </w:r>
            <w:r>
              <w:rPr>
                <w:rFonts w:hint="eastAsia" w:ascii="宋体" w:hAnsi="宋体"/>
                <w:kern w:val="0"/>
                <w:sz w:val="20"/>
                <w:szCs w:val="21"/>
              </w:rPr>
              <w:t>.完成所有新购设备的布线安装，及与原有设备的对接调试工作。</w:t>
            </w:r>
          </w:p>
          <w:p>
            <w:pPr>
              <w:spacing w:line="300" w:lineRule="exact"/>
              <w:jc w:val="left"/>
              <w:rPr>
                <w:rFonts w:ascii="宋体" w:hAnsi="宋体"/>
                <w:kern w:val="0"/>
                <w:sz w:val="20"/>
                <w:szCs w:val="21"/>
              </w:rPr>
            </w:pPr>
            <w:r>
              <w:rPr>
                <w:rFonts w:ascii="宋体" w:hAnsi="宋体"/>
                <w:kern w:val="0"/>
                <w:sz w:val="20"/>
                <w:szCs w:val="21"/>
              </w:rPr>
              <w:t>3</w:t>
            </w:r>
            <w:r>
              <w:rPr>
                <w:rFonts w:hint="eastAsia" w:ascii="宋体" w:hAnsi="宋体"/>
                <w:kern w:val="0"/>
                <w:sz w:val="20"/>
                <w:szCs w:val="21"/>
              </w:rPr>
              <w:t>.保修期≥3年。</w:t>
            </w:r>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18套</w:t>
            </w:r>
          </w:p>
        </w:tc>
        <w:tc>
          <w:tcPr>
            <w:tcW w:w="5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8" w:hRule="atLeast"/>
          <w:jc w:val="center"/>
        </w:trPr>
        <w:tc>
          <w:tcPr>
            <w:tcW w:w="32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kern w:val="0"/>
                <w:sz w:val="20"/>
                <w:szCs w:val="21"/>
                <w:lang w:eastAsia="zh-CN"/>
              </w:rPr>
            </w:pPr>
            <w:r>
              <w:rPr>
                <w:rFonts w:hint="eastAsia" w:ascii="宋体" w:hAnsi="宋体"/>
                <w:kern w:val="0"/>
                <w:sz w:val="20"/>
                <w:szCs w:val="21"/>
                <w:lang w:val="en-US" w:eastAsia="zh-CN"/>
              </w:rPr>
              <w:t>5</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显示器支架</w:t>
            </w:r>
          </w:p>
        </w:tc>
        <w:tc>
          <w:tcPr>
            <w:tcW w:w="2204" w:type="pct"/>
            <w:tcBorders>
              <w:top w:val="single" w:color="auto" w:sz="4" w:space="0"/>
              <w:left w:val="single" w:color="000000" w:sz="4" w:space="0"/>
              <w:bottom w:val="single" w:color="auto" w:sz="4" w:space="0"/>
              <w:right w:val="single" w:color="000000" w:sz="4" w:space="0"/>
            </w:tcBorders>
          </w:tcPr>
          <w:p>
            <w:pPr>
              <w:jc w:val="left"/>
              <w:rPr>
                <w:rFonts w:ascii="宋体" w:hAnsi="宋体"/>
                <w:kern w:val="0"/>
                <w:sz w:val="20"/>
                <w:szCs w:val="21"/>
              </w:rPr>
            </w:pPr>
            <w:r>
              <w:rPr>
                <w:rFonts w:hint="eastAsia" w:ascii="宋体" w:hAnsi="宋体"/>
                <w:kern w:val="0"/>
                <w:sz w:val="20"/>
                <w:szCs w:val="21"/>
              </w:rPr>
              <w:t>1.显示器底座增高架屏幕支架、可旋转。</w:t>
            </w:r>
          </w:p>
          <w:p>
            <w:pPr>
              <w:jc w:val="left"/>
              <w:rPr>
                <w:rFonts w:ascii="宋体" w:hAnsi="宋体"/>
                <w:kern w:val="0"/>
                <w:sz w:val="20"/>
                <w:szCs w:val="21"/>
              </w:rPr>
            </w:pPr>
            <w:r>
              <w:rPr>
                <w:rFonts w:hint="eastAsia" w:ascii="宋体" w:hAnsi="宋体"/>
                <w:kern w:val="0"/>
                <w:sz w:val="20"/>
                <w:szCs w:val="21"/>
              </w:rPr>
              <w:t>2.安装到现有的讲台上。</w:t>
            </w:r>
          </w:p>
          <w:p>
            <w:pPr>
              <w:jc w:val="left"/>
              <w:rPr>
                <w:rFonts w:ascii="宋体" w:hAnsi="宋体"/>
                <w:kern w:val="0"/>
                <w:sz w:val="20"/>
                <w:szCs w:val="21"/>
              </w:rPr>
            </w:pPr>
            <w:r>
              <w:rPr>
                <w:rFonts w:hint="eastAsia" w:ascii="宋体" w:hAnsi="宋体"/>
                <w:kern w:val="0"/>
                <w:sz w:val="20"/>
                <w:szCs w:val="21"/>
              </w:rPr>
              <w:t>3.保修期</w:t>
            </w:r>
            <w:r>
              <w:rPr>
                <w:rFonts w:hint="eastAsia" w:ascii="宋体" w:hAnsi="宋体" w:cs="宋体"/>
                <w:kern w:val="0"/>
                <w:sz w:val="20"/>
                <w:szCs w:val="21"/>
              </w:rPr>
              <w:t>≥</w:t>
            </w:r>
            <w:r>
              <w:rPr>
                <w:rFonts w:hint="eastAsia" w:ascii="宋体" w:hAnsi="宋体"/>
                <w:kern w:val="0"/>
                <w:sz w:val="20"/>
                <w:szCs w:val="21"/>
              </w:rPr>
              <w:t>3年。</w:t>
            </w:r>
          </w:p>
          <w:p>
            <w:pPr>
              <w:jc w:val="left"/>
              <w:rPr>
                <w:rFonts w:ascii="宋体" w:hAnsi="宋体"/>
                <w:kern w:val="0"/>
                <w:sz w:val="20"/>
                <w:szCs w:val="21"/>
              </w:rPr>
            </w:pPr>
            <w:r>
              <w:rPr>
                <w:rFonts w:hint="eastAsia" w:ascii="宋体" w:hAnsi="宋体"/>
                <w:kern w:val="0"/>
                <w:sz w:val="20"/>
                <w:szCs w:val="21"/>
              </w:rPr>
              <w:t>4.放置地点：公1#505、506、517、518、经管#201、207、209、210、219、301、310、主2#117。</w:t>
            </w:r>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12个</w:t>
            </w:r>
          </w:p>
        </w:tc>
        <w:tc>
          <w:tcPr>
            <w:tcW w:w="5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bl>
    <w:p>
      <w:pPr>
        <w:numPr>
          <w:ilvl w:val="0"/>
          <w:numId w:val="0"/>
        </w:numPr>
        <w:spacing w:line="360" w:lineRule="auto"/>
        <w:ind w:leftChars="0" w:firstLine="241" w:firstLineChars="100"/>
        <w:rPr>
          <w:rFonts w:hint="default"/>
          <w:b/>
          <w:bCs/>
          <w:sz w:val="24"/>
          <w:lang w:val="en-US" w:eastAsia="zh-CN"/>
        </w:rPr>
      </w:pPr>
    </w:p>
    <w:p>
      <w:pPr>
        <w:numPr>
          <w:ilvl w:val="0"/>
          <w:numId w:val="2"/>
        </w:numPr>
        <w:spacing w:line="360" w:lineRule="auto"/>
        <w:rPr>
          <w:b/>
          <w:bCs/>
          <w:sz w:val="24"/>
        </w:rPr>
      </w:pPr>
      <w:r>
        <w:rPr>
          <w:rFonts w:hint="eastAsia"/>
          <w:b/>
          <w:bCs/>
          <w:sz w:val="24"/>
        </w:rPr>
        <w:t>其它说明</w:t>
      </w:r>
    </w:p>
    <w:p>
      <w:pPr>
        <w:spacing w:line="360" w:lineRule="auto"/>
        <w:rPr>
          <w:bCs/>
          <w:sz w:val="24"/>
        </w:rPr>
      </w:pPr>
      <w:r>
        <w:rPr>
          <w:rFonts w:hint="eastAsia"/>
          <w:bCs/>
          <w:sz w:val="24"/>
        </w:rPr>
        <w:t>2.1以上所有设备的参数为基本参数。评标时以</w:t>
      </w:r>
      <w:r>
        <w:rPr>
          <w:rFonts w:hint="eastAsia" w:ascii="宋体" w:hAnsi="宋体"/>
          <w:sz w:val="24"/>
        </w:rPr>
        <w:t>各投标方提供的设备清单及设备配置为评价指标；各投标方所提供的设备，应做到配套齐全、功能完善，以方便使用。</w:t>
      </w:r>
      <w:r>
        <w:rPr>
          <w:rFonts w:hint="eastAsia"/>
          <w:bCs/>
          <w:sz w:val="24"/>
        </w:rPr>
        <w:t>中标单位需在招标方规定时间到货并安装、调试完毕（为合同签订后30个日历日内到货并安装调试完毕）。</w:t>
      </w:r>
    </w:p>
    <w:p>
      <w:pPr>
        <w:spacing w:line="360" w:lineRule="auto"/>
        <w:rPr>
          <w:b/>
          <w:color w:val="FF0000"/>
          <w:sz w:val="24"/>
        </w:rPr>
      </w:pPr>
      <w:r>
        <w:rPr>
          <w:rFonts w:hint="eastAsia"/>
          <w:bCs/>
          <w:sz w:val="24"/>
        </w:rPr>
        <w:t>2.2投标时需提供以上所有设备各1套实物，作为评标参考，样品作为到货验收时的依据之一。</w:t>
      </w:r>
      <w:r>
        <w:rPr>
          <w:rFonts w:hint="eastAsia"/>
          <w:bCs/>
          <w:color w:val="FF0000"/>
          <w:sz w:val="24"/>
        </w:rPr>
        <w:t>未提供样品者视为放弃投标资格。</w:t>
      </w:r>
    </w:p>
    <w:p>
      <w:pPr>
        <w:numPr>
          <w:ilvl w:val="0"/>
          <w:numId w:val="2"/>
        </w:numPr>
        <w:spacing w:line="360" w:lineRule="auto"/>
        <w:rPr>
          <w:b/>
          <w:bCs/>
          <w:sz w:val="24"/>
        </w:rPr>
      </w:pPr>
      <w:r>
        <w:rPr>
          <w:rFonts w:hint="eastAsia"/>
          <w:b/>
          <w:bCs/>
          <w:sz w:val="24"/>
        </w:rPr>
        <w:t>投标要求</w:t>
      </w:r>
    </w:p>
    <w:p>
      <w:pPr>
        <w:numPr>
          <w:ilvl w:val="1"/>
          <w:numId w:val="2"/>
        </w:numPr>
        <w:spacing w:line="360" w:lineRule="auto"/>
        <w:rPr>
          <w:bCs/>
          <w:sz w:val="24"/>
        </w:rPr>
      </w:pPr>
      <w:r>
        <w:rPr>
          <w:rFonts w:hint="eastAsia"/>
          <w:bCs/>
          <w:sz w:val="24"/>
        </w:rPr>
        <w:t>投标人应根据本招标文件中提出的技术要求，在投标文件中提供技术应答书或技术建议书。</w:t>
      </w:r>
    </w:p>
    <w:p>
      <w:pPr>
        <w:numPr>
          <w:ilvl w:val="1"/>
          <w:numId w:val="2"/>
        </w:numPr>
        <w:spacing w:line="360" w:lineRule="auto"/>
        <w:rPr>
          <w:b/>
          <w:sz w:val="24"/>
          <w:u w:val="single"/>
        </w:rPr>
      </w:pPr>
      <w:r>
        <w:rPr>
          <w:rFonts w:hint="eastAsia"/>
          <w:bCs/>
          <w:sz w:val="24"/>
        </w:rPr>
        <w:t>投标人必须为招标产品的制造商、经销商或代理商，投标人为经销商、代理商的</w:t>
      </w:r>
      <w:r>
        <w:rPr>
          <w:rFonts w:hint="eastAsia"/>
          <w:b/>
          <w:sz w:val="24"/>
        </w:rPr>
        <w:t>，</w:t>
      </w:r>
      <w:r>
        <w:rPr>
          <w:rFonts w:hint="eastAsia"/>
          <w:b/>
          <w:color w:val="FF0000"/>
          <w:sz w:val="24"/>
          <w:u w:val="single"/>
        </w:rPr>
        <w:t>在投标时可不提供授权文件，但在中标后需提供这批货物的原厂家授权文件以及原厂保修证明文件</w:t>
      </w:r>
      <w:r>
        <w:rPr>
          <w:rFonts w:hint="eastAsia"/>
          <w:b/>
          <w:sz w:val="24"/>
          <w:u w:val="single"/>
        </w:rPr>
        <w:t>。</w:t>
      </w:r>
    </w:p>
    <w:p>
      <w:pPr>
        <w:numPr>
          <w:ilvl w:val="1"/>
          <w:numId w:val="2"/>
        </w:numPr>
        <w:spacing w:line="360" w:lineRule="auto"/>
        <w:rPr>
          <w:bCs/>
          <w:sz w:val="24"/>
        </w:rPr>
      </w:pPr>
      <w:r>
        <w:rPr>
          <w:rFonts w:hint="eastAsia"/>
          <w:bCs/>
          <w:sz w:val="24"/>
        </w:rPr>
        <w:t>进口货物供应商必须提供生产厂家的授权经销代理正本，所有的产品必须是全新的原装进口产品，供应商必须负责为用户安装调试。</w:t>
      </w:r>
    </w:p>
    <w:p>
      <w:pPr>
        <w:numPr>
          <w:ilvl w:val="1"/>
          <w:numId w:val="2"/>
        </w:numPr>
        <w:spacing w:line="360" w:lineRule="auto"/>
        <w:rPr>
          <w:bCs/>
          <w:sz w:val="24"/>
        </w:rPr>
      </w:pPr>
      <w:r>
        <w:rPr>
          <w:rFonts w:hint="eastAsia"/>
          <w:bCs/>
          <w:sz w:val="24"/>
        </w:rPr>
        <w:t>投标人应具备独立的法人资格，相应的经营范围。报名时，须提供企业法人营业执照（副本）复印件。</w:t>
      </w:r>
    </w:p>
    <w:p>
      <w:pPr>
        <w:numPr>
          <w:ilvl w:val="1"/>
          <w:numId w:val="2"/>
        </w:numPr>
        <w:spacing w:line="360" w:lineRule="auto"/>
        <w:rPr>
          <w:bCs/>
          <w:sz w:val="24"/>
        </w:rPr>
      </w:pPr>
      <w:r>
        <w:rPr>
          <w:rFonts w:hint="eastAsia"/>
          <w:bCs/>
          <w:sz w:val="24"/>
        </w:rPr>
        <w:t>投标文件必须包含投标书、开标一览表、投标价格一览表、资格证明文件、售后服务承诺及本招标文件要求的其他主要内容，以上材料须加盖投标人公章。</w:t>
      </w:r>
    </w:p>
    <w:p>
      <w:pPr>
        <w:numPr>
          <w:ilvl w:val="1"/>
          <w:numId w:val="2"/>
        </w:numPr>
        <w:spacing w:line="360" w:lineRule="auto"/>
        <w:rPr>
          <w:bCs/>
          <w:sz w:val="24"/>
        </w:rPr>
      </w:pPr>
      <w:r>
        <w:rPr>
          <w:rFonts w:hint="eastAsia"/>
          <w:bCs/>
          <w:sz w:val="24"/>
        </w:rPr>
        <w:t>投标文件中附投标货物的详细产品配置及彩图。供应商所提供的货物必须是全新的原装正品，每个包装箱内的清单，中文使用说明书、质量证书、保修卡等所有资料应齐全。</w:t>
      </w:r>
    </w:p>
    <w:p>
      <w:pPr>
        <w:numPr>
          <w:ilvl w:val="1"/>
          <w:numId w:val="2"/>
        </w:numPr>
        <w:spacing w:line="360" w:lineRule="auto"/>
        <w:rPr>
          <w:bCs/>
          <w:sz w:val="24"/>
        </w:rPr>
      </w:pPr>
      <w:r>
        <w:rPr>
          <w:rFonts w:hint="eastAsia"/>
          <w:bCs/>
          <w:sz w:val="24"/>
        </w:rPr>
        <w:t>投标人在福建省内应具备完善的售后服务体系，具有</w:t>
      </w:r>
      <w:r>
        <w:rPr>
          <w:bCs/>
          <w:sz w:val="24"/>
        </w:rPr>
        <w:t>3</w:t>
      </w:r>
      <w:r>
        <w:rPr>
          <w:rFonts w:hint="eastAsia"/>
          <w:bCs/>
          <w:sz w:val="24"/>
        </w:rPr>
        <w:t>名以上的售后服务人员。</w:t>
      </w:r>
    </w:p>
    <w:p>
      <w:pPr>
        <w:numPr>
          <w:ilvl w:val="1"/>
          <w:numId w:val="2"/>
        </w:numPr>
        <w:spacing w:line="360" w:lineRule="auto"/>
        <w:rPr>
          <w:b/>
          <w:bCs/>
          <w:sz w:val="24"/>
        </w:rPr>
      </w:pPr>
      <w:r>
        <w:rPr>
          <w:rFonts w:hint="eastAsia"/>
          <w:b/>
          <w:bCs/>
          <w:sz w:val="24"/>
        </w:rPr>
        <w:t>招标人有权根据实际情况增减招标数量。</w:t>
      </w:r>
    </w:p>
    <w:p>
      <w:pPr>
        <w:numPr>
          <w:ilvl w:val="0"/>
          <w:numId w:val="2"/>
        </w:numPr>
        <w:spacing w:line="360" w:lineRule="auto"/>
        <w:rPr>
          <w:b/>
          <w:bCs/>
          <w:sz w:val="24"/>
        </w:rPr>
      </w:pPr>
      <w:r>
        <w:rPr>
          <w:rFonts w:hint="eastAsia"/>
          <w:b/>
          <w:bCs/>
          <w:sz w:val="24"/>
        </w:rPr>
        <w:t>本次招标废标界定</w:t>
      </w:r>
    </w:p>
    <w:p>
      <w:pPr>
        <w:spacing w:line="360" w:lineRule="auto"/>
        <w:ind w:firstLine="540"/>
        <w:rPr>
          <w:sz w:val="24"/>
        </w:rPr>
      </w:pPr>
      <w:r>
        <w:rPr>
          <w:rFonts w:hint="eastAsia"/>
          <w:sz w:val="24"/>
        </w:rPr>
        <w:t>出现下列情形之一的，本次招标将按废标处理：</w:t>
      </w:r>
    </w:p>
    <w:p>
      <w:pPr>
        <w:spacing w:line="360" w:lineRule="auto"/>
        <w:rPr>
          <w:rFonts w:ascii="宋体"/>
          <w:kern w:val="0"/>
          <w:sz w:val="24"/>
        </w:rPr>
      </w:pPr>
      <w:r>
        <w:rPr>
          <w:rFonts w:hint="eastAsia" w:ascii="宋体" w:hAnsi="宋体"/>
          <w:kern w:val="0"/>
          <w:sz w:val="24"/>
        </w:rPr>
        <w:t>4.1投标截止时间之后送达的投标文件；</w:t>
      </w:r>
    </w:p>
    <w:p>
      <w:pPr>
        <w:spacing w:line="360" w:lineRule="auto"/>
        <w:rPr>
          <w:rFonts w:ascii="宋体"/>
          <w:kern w:val="0"/>
          <w:sz w:val="24"/>
        </w:rPr>
      </w:pPr>
      <w:r>
        <w:rPr>
          <w:rFonts w:hint="eastAsia" w:ascii="宋体" w:hAnsi="宋体"/>
          <w:kern w:val="0"/>
          <w:sz w:val="24"/>
        </w:rPr>
        <w:t>4.2未按招标文件要求密封；</w:t>
      </w:r>
    </w:p>
    <w:p>
      <w:pPr>
        <w:spacing w:line="360" w:lineRule="auto"/>
        <w:rPr>
          <w:rFonts w:ascii="宋体"/>
          <w:kern w:val="0"/>
          <w:sz w:val="24"/>
        </w:rPr>
      </w:pPr>
      <w:r>
        <w:rPr>
          <w:rFonts w:hint="eastAsia" w:ascii="宋体" w:hAnsi="宋体"/>
          <w:kern w:val="0"/>
          <w:sz w:val="24"/>
        </w:rPr>
        <w:t>4.3投标人资格不满足招标人在招标文件中的要求；</w:t>
      </w:r>
    </w:p>
    <w:p>
      <w:pPr>
        <w:spacing w:line="360" w:lineRule="auto"/>
        <w:ind w:left="480" w:hanging="480" w:hangingChars="200"/>
        <w:rPr>
          <w:rFonts w:ascii="宋体"/>
          <w:kern w:val="0"/>
          <w:sz w:val="24"/>
        </w:rPr>
      </w:pPr>
      <w:r>
        <w:rPr>
          <w:rFonts w:hint="eastAsia" w:ascii="宋体" w:hAnsi="宋体"/>
          <w:kern w:val="0"/>
          <w:sz w:val="24"/>
        </w:rPr>
        <w:t>4.4投标文件的组成内容不符合招标文件要求或未按规定格式填写或打印（格式可扩展）、字迹模糊不清、难以辨认，实质性内容更改后未加盖法定代表人或委托代理人印章；</w:t>
      </w:r>
    </w:p>
    <w:p>
      <w:pPr>
        <w:spacing w:line="360" w:lineRule="auto"/>
        <w:rPr>
          <w:rFonts w:ascii="宋体"/>
          <w:kern w:val="0"/>
          <w:sz w:val="24"/>
        </w:rPr>
      </w:pPr>
      <w:r>
        <w:rPr>
          <w:rFonts w:hint="eastAsia" w:ascii="宋体" w:hAnsi="宋体"/>
          <w:kern w:val="0"/>
          <w:sz w:val="24"/>
        </w:rPr>
        <w:t>4.5投标文件附有招标人不能接受的条件或承诺内容未能按招标文件的要求；</w:t>
      </w:r>
    </w:p>
    <w:p>
      <w:pPr>
        <w:spacing w:line="360" w:lineRule="auto"/>
        <w:rPr>
          <w:rFonts w:ascii="宋体"/>
          <w:kern w:val="0"/>
          <w:sz w:val="24"/>
        </w:rPr>
      </w:pPr>
      <w:r>
        <w:rPr>
          <w:rFonts w:hint="eastAsia" w:ascii="宋体" w:hAnsi="宋体"/>
          <w:kern w:val="0"/>
          <w:sz w:val="24"/>
        </w:rPr>
        <w:t>4.6投标人以他人名义投标、串通投标或以其它弄虚作假方式投标；</w:t>
      </w:r>
    </w:p>
    <w:p>
      <w:pPr>
        <w:spacing w:line="360" w:lineRule="auto"/>
        <w:ind w:left="480" w:hanging="480" w:hangingChars="200"/>
        <w:rPr>
          <w:rFonts w:ascii="宋体" w:hAnsi="宋体"/>
          <w:kern w:val="0"/>
          <w:sz w:val="24"/>
        </w:rPr>
      </w:pPr>
      <w:r>
        <w:rPr>
          <w:rFonts w:hint="eastAsia" w:ascii="宋体" w:hAnsi="宋体"/>
          <w:kern w:val="0"/>
          <w:sz w:val="24"/>
        </w:rPr>
        <w:t>4.7未按招标文件要求提交投标保证金的或投标保证金不是从投标人的</w:t>
      </w:r>
      <w:r>
        <w:rPr>
          <w:rFonts w:hint="eastAsia" w:ascii="宋体" w:hAnsi="宋体"/>
          <w:b/>
          <w:bCs/>
          <w:color w:val="FF0000"/>
          <w:kern w:val="0"/>
          <w:sz w:val="24"/>
        </w:rPr>
        <w:t>基本账户转账</w:t>
      </w:r>
      <w:r>
        <w:rPr>
          <w:rFonts w:hint="eastAsia" w:ascii="宋体" w:hAnsi="宋体"/>
          <w:kern w:val="0"/>
          <w:sz w:val="24"/>
        </w:rPr>
        <w:t>、电汇的（投标人提供的投标保证金转账、电汇凭证复印件上的账户必须是投标人的基本账户）；投标文件中应提供人民银行批准的基本账户开户许可证复印件或者银行颁发的基本存款账户信息复印件；</w:t>
      </w:r>
    </w:p>
    <w:p>
      <w:pPr>
        <w:spacing w:line="360" w:lineRule="auto"/>
        <w:ind w:left="480" w:hanging="480" w:hangingChars="200"/>
        <w:rPr>
          <w:rFonts w:ascii="宋体"/>
          <w:kern w:val="0"/>
          <w:sz w:val="24"/>
        </w:rPr>
      </w:pPr>
      <w:r>
        <w:rPr>
          <w:rFonts w:hint="eastAsia" w:ascii="宋体" w:hAnsi="宋体"/>
          <w:kern w:val="0"/>
          <w:sz w:val="24"/>
        </w:rPr>
        <w:t>4.8投标人所报商品价格明显超出市场正常值的或者投标报价高于招标人公布的最高控制价的（招标人有权在开标时公布最高控制价）；</w:t>
      </w:r>
    </w:p>
    <w:p>
      <w:pPr>
        <w:spacing w:line="360" w:lineRule="auto"/>
        <w:ind w:left="480" w:hanging="480" w:hangingChars="200"/>
        <w:rPr>
          <w:rFonts w:ascii="宋体"/>
          <w:kern w:val="0"/>
          <w:sz w:val="24"/>
        </w:rPr>
      </w:pPr>
      <w:r>
        <w:rPr>
          <w:rFonts w:hint="eastAsia" w:ascii="宋体" w:hAnsi="宋体"/>
          <w:kern w:val="0"/>
          <w:sz w:val="24"/>
        </w:rPr>
        <w:t>4.9评标委员会对投标人的投标报价进行质询时</w:t>
      </w:r>
      <w:r>
        <w:rPr>
          <w:rFonts w:hint="eastAsia" w:ascii="宋体"/>
          <w:kern w:val="0"/>
          <w:sz w:val="24"/>
        </w:rPr>
        <w:t>,</w:t>
      </w:r>
      <w:r>
        <w:rPr>
          <w:rFonts w:hint="eastAsia" w:ascii="宋体" w:hAnsi="宋体"/>
          <w:kern w:val="0"/>
          <w:sz w:val="24"/>
        </w:rPr>
        <w:t>投标人存在以下情形之一的：</w:t>
      </w:r>
    </w:p>
    <w:p>
      <w:pPr>
        <w:numPr>
          <w:ilvl w:val="0"/>
          <w:numId w:val="3"/>
        </w:numPr>
        <w:spacing w:line="360" w:lineRule="auto"/>
        <w:rPr>
          <w:sz w:val="24"/>
        </w:rPr>
      </w:pPr>
      <w:r>
        <w:rPr>
          <w:rFonts w:hint="eastAsia" w:ascii="宋体" w:hAnsi="宋体"/>
          <w:sz w:val="24"/>
        </w:rPr>
        <w:t>投标人拒绝说明；</w:t>
      </w:r>
    </w:p>
    <w:p>
      <w:pPr>
        <w:numPr>
          <w:ilvl w:val="0"/>
          <w:numId w:val="3"/>
        </w:numPr>
        <w:spacing w:line="360" w:lineRule="auto"/>
        <w:rPr>
          <w:sz w:val="24"/>
        </w:rPr>
      </w:pPr>
      <w:r>
        <w:rPr>
          <w:rFonts w:hint="eastAsia" w:ascii="宋体" w:hAnsi="宋体"/>
          <w:sz w:val="24"/>
        </w:rPr>
        <w:t>不能合理说明；</w:t>
      </w:r>
    </w:p>
    <w:p>
      <w:pPr>
        <w:numPr>
          <w:ilvl w:val="0"/>
          <w:numId w:val="3"/>
        </w:numPr>
        <w:spacing w:line="360" w:lineRule="auto"/>
        <w:rPr>
          <w:sz w:val="24"/>
        </w:rPr>
      </w:pPr>
      <w:r>
        <w:rPr>
          <w:rFonts w:hint="eastAsia" w:ascii="宋体" w:hAnsi="宋体"/>
          <w:sz w:val="24"/>
        </w:rPr>
        <w:t>未提供相应证明材料；</w:t>
      </w:r>
    </w:p>
    <w:p>
      <w:pPr>
        <w:numPr>
          <w:ilvl w:val="0"/>
          <w:numId w:val="3"/>
        </w:numPr>
        <w:spacing w:line="360" w:lineRule="auto"/>
        <w:rPr>
          <w:sz w:val="24"/>
        </w:rPr>
      </w:pPr>
      <w:r>
        <w:rPr>
          <w:rFonts w:hint="eastAsia" w:ascii="宋体" w:hAnsi="宋体"/>
          <w:sz w:val="24"/>
        </w:rPr>
        <w:t>所提供的证明材料不能说明其理由；</w:t>
      </w:r>
    </w:p>
    <w:p>
      <w:pPr>
        <w:numPr>
          <w:ilvl w:val="0"/>
          <w:numId w:val="3"/>
        </w:numPr>
        <w:spacing w:line="360" w:lineRule="auto"/>
        <w:rPr>
          <w:rFonts w:ascii="宋体"/>
          <w:kern w:val="0"/>
          <w:sz w:val="24"/>
        </w:rPr>
      </w:pPr>
      <w:r>
        <w:rPr>
          <w:rFonts w:hint="eastAsia" w:ascii="宋体" w:hAnsi="宋体"/>
          <w:kern w:val="0"/>
          <w:sz w:val="24"/>
        </w:rPr>
        <w:t>评标委员会认为应当否决投标的其他情形；</w:t>
      </w:r>
    </w:p>
    <w:p>
      <w:pPr>
        <w:spacing w:line="360" w:lineRule="auto"/>
        <w:rPr>
          <w:rFonts w:ascii="宋体" w:hAnsi="宋体"/>
          <w:kern w:val="0"/>
          <w:sz w:val="24"/>
        </w:rPr>
      </w:pPr>
      <w:r>
        <w:rPr>
          <w:rFonts w:hint="eastAsia" w:ascii="宋体" w:hAnsi="宋体"/>
          <w:kern w:val="0"/>
          <w:sz w:val="24"/>
        </w:rPr>
        <w:t>招标文件明确规定为无效标的其它条款。</w:t>
      </w:r>
    </w:p>
    <w:p>
      <w:pPr>
        <w:spacing w:line="360" w:lineRule="auto"/>
        <w:rPr>
          <w:rFonts w:ascii="宋体" w:hAnsi="宋体"/>
          <w:color w:val="FF0000"/>
          <w:kern w:val="0"/>
          <w:sz w:val="24"/>
        </w:rPr>
      </w:pPr>
      <w:r>
        <w:rPr>
          <w:rFonts w:hint="eastAsia" w:ascii="宋体" w:hAnsi="宋体"/>
          <w:color w:val="FF0000"/>
          <w:kern w:val="0"/>
          <w:sz w:val="24"/>
        </w:rPr>
        <w:t>4.10未按招标文件“第一章 第十条”要求装订投标确认函。</w:t>
      </w:r>
    </w:p>
    <w:p>
      <w:pPr>
        <w:numPr>
          <w:ilvl w:val="0"/>
          <w:numId w:val="2"/>
        </w:numPr>
        <w:spacing w:line="360" w:lineRule="auto"/>
        <w:rPr>
          <w:b/>
          <w:bCs/>
          <w:sz w:val="24"/>
        </w:rPr>
      </w:pPr>
      <w:r>
        <w:rPr>
          <w:rFonts w:hint="eastAsia"/>
          <w:b/>
          <w:bCs/>
          <w:sz w:val="24"/>
        </w:rPr>
        <w:t>投标报价要求</w:t>
      </w:r>
    </w:p>
    <w:p>
      <w:pPr>
        <w:spacing w:line="360" w:lineRule="auto"/>
        <w:ind w:firstLine="480" w:firstLineChars="200"/>
        <w:rPr>
          <w:sz w:val="24"/>
        </w:rPr>
      </w:pPr>
      <w:r>
        <w:rPr>
          <w:rFonts w:hint="eastAsia"/>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pPr>
        <w:numPr>
          <w:ilvl w:val="0"/>
          <w:numId w:val="2"/>
        </w:numPr>
        <w:spacing w:line="360" w:lineRule="auto"/>
        <w:rPr>
          <w:b/>
          <w:bCs/>
          <w:sz w:val="24"/>
        </w:rPr>
      </w:pPr>
      <w:r>
        <w:rPr>
          <w:rFonts w:hint="eastAsia"/>
          <w:b/>
          <w:bCs/>
          <w:sz w:val="24"/>
        </w:rPr>
        <w:t>合同签订</w:t>
      </w:r>
    </w:p>
    <w:p>
      <w:pPr>
        <w:spacing w:line="360" w:lineRule="auto"/>
        <w:ind w:firstLine="480" w:firstLineChars="200"/>
        <w:rPr>
          <w:sz w:val="24"/>
        </w:rPr>
      </w:pPr>
      <w:r>
        <w:rPr>
          <w:rFonts w:hint="eastAsia"/>
          <w:sz w:val="24"/>
        </w:rPr>
        <w:t>中标人在接到中标通知后，持中标通知书与厦门大学嘉庚学院签订合同。招标文件、投标文件及其澄清文件均作为签订合同及相关技术和服务协议的基础。</w:t>
      </w:r>
    </w:p>
    <w:p>
      <w:pPr>
        <w:numPr>
          <w:ilvl w:val="0"/>
          <w:numId w:val="2"/>
        </w:numPr>
        <w:spacing w:line="360" w:lineRule="auto"/>
        <w:rPr>
          <w:b/>
          <w:bCs/>
          <w:sz w:val="24"/>
        </w:rPr>
      </w:pPr>
      <w:r>
        <w:rPr>
          <w:rFonts w:hint="eastAsia"/>
          <w:b/>
          <w:bCs/>
          <w:sz w:val="24"/>
        </w:rPr>
        <w:t>验收条件</w:t>
      </w:r>
    </w:p>
    <w:p>
      <w:pPr>
        <w:numPr>
          <w:ilvl w:val="1"/>
          <w:numId w:val="2"/>
        </w:numPr>
        <w:spacing w:line="360" w:lineRule="auto"/>
        <w:rPr>
          <w:bCs/>
          <w:sz w:val="24"/>
        </w:rPr>
      </w:pPr>
      <w:r>
        <w:rPr>
          <w:rFonts w:hint="eastAsia"/>
          <w:bCs/>
          <w:sz w:val="24"/>
        </w:rPr>
        <w:t>招标文件、投标文件、合同、厂家货物技术标准说明及有关国家的质量标准规定，均作为验收标准。</w:t>
      </w:r>
    </w:p>
    <w:p>
      <w:pPr>
        <w:numPr>
          <w:ilvl w:val="1"/>
          <w:numId w:val="2"/>
        </w:numPr>
        <w:spacing w:line="360" w:lineRule="auto"/>
        <w:rPr>
          <w:bCs/>
          <w:sz w:val="24"/>
        </w:rPr>
      </w:pPr>
      <w:r>
        <w:rPr>
          <w:rFonts w:hint="eastAsia"/>
          <w:bCs/>
          <w:sz w:val="24"/>
        </w:rPr>
        <w:t>招标人应当组织对供应商履约情况进行验收。验收小组成员应当在验收书上签字，并承担相应的法律责任。</w:t>
      </w:r>
    </w:p>
    <w:p>
      <w:pPr>
        <w:numPr>
          <w:ilvl w:val="1"/>
          <w:numId w:val="2"/>
        </w:numPr>
        <w:spacing w:line="360" w:lineRule="auto"/>
        <w:rPr>
          <w:bCs/>
          <w:sz w:val="24"/>
        </w:rPr>
      </w:pPr>
      <w:r>
        <w:rPr>
          <w:rFonts w:hint="eastAsia"/>
          <w:bCs/>
          <w:sz w:val="24"/>
        </w:rPr>
        <w:t>验收时中标人代表必须在场。验收合格后，招标人根据合同规定为中标人办理付款手续。</w:t>
      </w:r>
      <w:r>
        <w:rPr>
          <w:bCs/>
          <w:sz w:val="24"/>
        </w:rPr>
        <w:t xml:space="preserve"> </w:t>
      </w:r>
    </w:p>
    <w:p>
      <w:pPr>
        <w:numPr>
          <w:ilvl w:val="0"/>
          <w:numId w:val="2"/>
        </w:numPr>
        <w:spacing w:line="360" w:lineRule="auto"/>
        <w:rPr>
          <w:b/>
          <w:bCs/>
          <w:sz w:val="24"/>
        </w:rPr>
      </w:pPr>
      <w:r>
        <w:rPr>
          <w:rFonts w:hint="eastAsia"/>
          <w:b/>
          <w:bCs/>
          <w:sz w:val="24"/>
        </w:rPr>
        <w:t>付款条件</w:t>
      </w:r>
    </w:p>
    <w:p>
      <w:pPr>
        <w:spacing w:line="360" w:lineRule="auto"/>
        <w:ind w:firstLine="480" w:firstLineChars="200"/>
        <w:rPr>
          <w:sz w:val="24"/>
        </w:rPr>
      </w:pPr>
      <w:r>
        <w:rPr>
          <w:rFonts w:hint="eastAsia"/>
          <w:sz w:val="24"/>
        </w:rPr>
        <w:t>设备验收合格后三十个工作日内支付合同款的</w:t>
      </w:r>
      <w:r>
        <w:rPr>
          <w:sz w:val="24"/>
        </w:rPr>
        <w:t>95</w:t>
      </w:r>
      <w:r>
        <w:rPr>
          <w:rFonts w:hint="eastAsia"/>
          <w:sz w:val="24"/>
        </w:rPr>
        <w:t>％，余下的</w:t>
      </w:r>
      <w:r>
        <w:rPr>
          <w:sz w:val="24"/>
        </w:rPr>
        <w:t>5</w:t>
      </w:r>
      <w:r>
        <w:rPr>
          <w:rFonts w:hint="eastAsia"/>
          <w:sz w:val="24"/>
        </w:rPr>
        <w:t>％作为售后服务保证金，在</w:t>
      </w:r>
      <w:r>
        <w:rPr>
          <w:rFonts w:hint="eastAsia"/>
          <w:sz w:val="24"/>
          <w:u w:val="single"/>
        </w:rPr>
        <w:t>质量保证期满</w:t>
      </w:r>
      <w:r>
        <w:rPr>
          <w:rFonts w:hint="eastAsia"/>
          <w:sz w:val="24"/>
        </w:rPr>
        <w:t>后，若供货商在保修期内履行售后服务承诺，且设备无在修状况，则一次付清，否则予以扣留。</w:t>
      </w:r>
    </w:p>
    <w:p>
      <w:pPr>
        <w:numPr>
          <w:ilvl w:val="0"/>
          <w:numId w:val="2"/>
        </w:numPr>
        <w:spacing w:line="360" w:lineRule="auto"/>
        <w:rPr>
          <w:b/>
          <w:bCs/>
          <w:sz w:val="24"/>
        </w:rPr>
      </w:pPr>
      <w:r>
        <w:rPr>
          <w:rFonts w:hint="eastAsia"/>
          <w:b/>
          <w:bCs/>
          <w:sz w:val="24"/>
        </w:rPr>
        <w:t>售后服务要求</w:t>
      </w:r>
    </w:p>
    <w:p>
      <w:pPr>
        <w:numPr>
          <w:ilvl w:val="1"/>
          <w:numId w:val="2"/>
        </w:numPr>
        <w:spacing w:line="360" w:lineRule="auto"/>
        <w:rPr>
          <w:sz w:val="24"/>
        </w:rPr>
      </w:pPr>
      <w:r>
        <w:rPr>
          <w:rFonts w:hint="eastAsia"/>
          <w:sz w:val="24"/>
        </w:rPr>
        <w:t>投标人应按照本采购项目特点提供长期良好的售后服务，并在投标文件中明确标注</w:t>
      </w:r>
      <w:r>
        <w:rPr>
          <w:rFonts w:hint="eastAsia"/>
          <w:color w:val="FF0000"/>
          <w:sz w:val="24"/>
        </w:rPr>
        <w:t>详细具体的售后服务承诺条款及保证</w:t>
      </w:r>
      <w:r>
        <w:rPr>
          <w:rFonts w:hint="eastAsia"/>
          <w:sz w:val="24"/>
        </w:rPr>
        <w:t>。</w:t>
      </w:r>
    </w:p>
    <w:p>
      <w:pPr>
        <w:numPr>
          <w:ilvl w:val="1"/>
          <w:numId w:val="2"/>
        </w:numPr>
        <w:spacing w:line="360" w:lineRule="auto"/>
        <w:rPr>
          <w:sz w:val="24"/>
        </w:rPr>
      </w:pPr>
      <w:r>
        <w:rPr>
          <w:rFonts w:hint="eastAsia"/>
          <w:sz w:val="24"/>
        </w:rPr>
        <w:t>投标人必须提供设备操作使用常规知识、技术特点、安装、使用、维修、软件使用和一般的故障判断等知识的培训，使招标人能正确使用及维护设备，所需的费用包含在投标报价中。</w:t>
      </w:r>
    </w:p>
    <w:p>
      <w:pPr>
        <w:numPr>
          <w:ilvl w:val="1"/>
          <w:numId w:val="2"/>
        </w:numPr>
        <w:spacing w:line="360" w:lineRule="auto"/>
        <w:rPr>
          <w:sz w:val="24"/>
        </w:rPr>
      </w:pPr>
      <w:r>
        <w:rPr>
          <w:rFonts w:hint="eastAsia"/>
          <w:sz w:val="24"/>
        </w:rPr>
        <w:t>保修期基本要求，详见采购项目表格。保修期自用户验收小组验收合格交付使用之日算起。</w:t>
      </w:r>
    </w:p>
    <w:p>
      <w:pPr>
        <w:numPr>
          <w:ilvl w:val="1"/>
          <w:numId w:val="2"/>
        </w:numPr>
        <w:spacing w:line="360" w:lineRule="auto"/>
        <w:rPr>
          <w:sz w:val="24"/>
        </w:rPr>
      </w:pPr>
      <w:r>
        <w:rPr>
          <w:rFonts w:hint="eastAsia"/>
          <w:sz w:val="24"/>
        </w:rPr>
        <w:t>设备若发生故障，在接到通知后</w:t>
      </w:r>
      <w:r>
        <w:rPr>
          <w:sz w:val="24"/>
        </w:rPr>
        <w:t>2</w:t>
      </w:r>
      <w:r>
        <w:rPr>
          <w:rFonts w:hint="eastAsia"/>
          <w:sz w:val="24"/>
        </w:rPr>
        <w:t>小时内给予答复，国产仪器中标供应商须在</w:t>
      </w:r>
      <w:r>
        <w:rPr>
          <w:sz w:val="24"/>
        </w:rPr>
        <w:t>12</w:t>
      </w:r>
      <w:r>
        <w:rPr>
          <w:rFonts w:hint="eastAsia"/>
          <w:sz w:val="24"/>
        </w:rPr>
        <w:t>小时内到达现场，进口仪器中标供应商须在</w:t>
      </w:r>
      <w:r>
        <w:rPr>
          <w:sz w:val="24"/>
        </w:rPr>
        <w:t>24</w:t>
      </w:r>
      <w:r>
        <w:rPr>
          <w:rFonts w:hint="eastAsia"/>
          <w:sz w:val="24"/>
        </w:rPr>
        <w:t>小时内到达现场。供应商到达现场后</w:t>
      </w:r>
      <w:r>
        <w:rPr>
          <w:sz w:val="24"/>
        </w:rPr>
        <w:t>48</w:t>
      </w:r>
      <w:r>
        <w:rPr>
          <w:rFonts w:hint="eastAsia"/>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pPr>
        <w:spacing w:line="360" w:lineRule="auto"/>
        <w:rPr>
          <w:sz w:val="24"/>
        </w:rPr>
      </w:pPr>
    </w:p>
    <w:p>
      <w:pPr>
        <w:spacing w:line="360" w:lineRule="auto"/>
        <w:rPr>
          <w:sz w:val="24"/>
        </w:rPr>
      </w:pPr>
    </w:p>
    <w:p>
      <w:pPr>
        <w:spacing w:line="360" w:lineRule="auto"/>
        <w:rPr>
          <w:sz w:val="24"/>
        </w:rPr>
      </w:pPr>
    </w:p>
    <w:p>
      <w:pPr>
        <w:pStyle w:val="2"/>
        <w:numPr>
          <w:ilvl w:val="0"/>
          <w:numId w:val="1"/>
        </w:numPr>
        <w:jc w:val="center"/>
      </w:pPr>
      <w:bookmarkStart w:id="4" w:name="_Toc29459_WPSOffice_Level1"/>
      <w:bookmarkStart w:id="5" w:name="_Toc153463829"/>
      <w:r>
        <w:rPr>
          <w:rFonts w:hint="eastAsia"/>
        </w:rPr>
        <w:t>投标人须知</w:t>
      </w:r>
      <w:bookmarkEnd w:id="4"/>
      <w:bookmarkEnd w:id="5"/>
    </w:p>
    <w:p>
      <w:pPr>
        <w:pStyle w:val="3"/>
        <w:numPr>
          <w:ilvl w:val="0"/>
          <w:numId w:val="4"/>
        </w:numPr>
        <w:jc w:val="center"/>
      </w:pPr>
      <w:bookmarkStart w:id="6" w:name="_Toc9523_WPSOffice_Level2"/>
      <w:bookmarkStart w:id="7" w:name="_Toc153463830"/>
      <w:r>
        <w:rPr>
          <w:rFonts w:hint="eastAsia"/>
        </w:rPr>
        <w:t>说明</w:t>
      </w:r>
      <w:bookmarkEnd w:id="6"/>
      <w:bookmarkEnd w:id="7"/>
    </w:p>
    <w:p>
      <w:pPr>
        <w:numPr>
          <w:ilvl w:val="0"/>
          <w:numId w:val="2"/>
        </w:numPr>
        <w:spacing w:line="360" w:lineRule="auto"/>
        <w:rPr>
          <w:b/>
          <w:bCs/>
          <w:sz w:val="24"/>
        </w:rPr>
      </w:pPr>
      <w:r>
        <w:rPr>
          <w:rFonts w:hint="eastAsia"/>
          <w:b/>
          <w:bCs/>
          <w:sz w:val="24"/>
        </w:rPr>
        <w:t>投标资格</w:t>
      </w:r>
    </w:p>
    <w:p>
      <w:pPr>
        <w:spacing w:line="360" w:lineRule="auto"/>
        <w:ind w:firstLine="480" w:firstLineChars="200"/>
        <w:rPr>
          <w:sz w:val="24"/>
        </w:rPr>
      </w:pPr>
      <w:r>
        <w:rPr>
          <w:rFonts w:hint="eastAsia"/>
          <w:sz w:val="24"/>
        </w:rPr>
        <w:t>根据“中华人民共和国政府采购法”，供应商参加政府采购活动应当具备下列条件：</w:t>
      </w:r>
    </w:p>
    <w:p>
      <w:pPr>
        <w:numPr>
          <w:ilvl w:val="1"/>
          <w:numId w:val="2"/>
        </w:numPr>
        <w:spacing w:line="360" w:lineRule="auto"/>
        <w:rPr>
          <w:bCs/>
          <w:sz w:val="24"/>
        </w:rPr>
      </w:pPr>
      <w:r>
        <w:rPr>
          <w:rFonts w:hint="eastAsia"/>
          <w:bCs/>
          <w:sz w:val="24"/>
        </w:rPr>
        <w:t>具有独立承担民事责任的能力；</w:t>
      </w:r>
    </w:p>
    <w:p>
      <w:pPr>
        <w:numPr>
          <w:ilvl w:val="1"/>
          <w:numId w:val="2"/>
        </w:numPr>
        <w:spacing w:line="360" w:lineRule="auto"/>
        <w:rPr>
          <w:bCs/>
          <w:sz w:val="24"/>
        </w:rPr>
      </w:pPr>
      <w:r>
        <w:rPr>
          <w:rFonts w:hint="eastAsia"/>
          <w:bCs/>
          <w:sz w:val="24"/>
        </w:rPr>
        <w:t>具有良好的商业信誉和健全的财务会计制度；</w:t>
      </w:r>
    </w:p>
    <w:p>
      <w:pPr>
        <w:numPr>
          <w:ilvl w:val="1"/>
          <w:numId w:val="2"/>
        </w:numPr>
        <w:spacing w:line="360" w:lineRule="auto"/>
        <w:rPr>
          <w:bCs/>
          <w:sz w:val="24"/>
        </w:rPr>
      </w:pPr>
      <w:r>
        <w:rPr>
          <w:rFonts w:hint="eastAsia"/>
          <w:bCs/>
          <w:sz w:val="24"/>
        </w:rPr>
        <w:t>具有履行合同所必需的设备和专业技术能力；</w:t>
      </w:r>
    </w:p>
    <w:p>
      <w:pPr>
        <w:numPr>
          <w:ilvl w:val="1"/>
          <w:numId w:val="2"/>
        </w:numPr>
        <w:spacing w:line="360" w:lineRule="auto"/>
        <w:rPr>
          <w:bCs/>
          <w:sz w:val="24"/>
        </w:rPr>
      </w:pPr>
      <w:r>
        <w:rPr>
          <w:rFonts w:hint="eastAsia"/>
          <w:bCs/>
          <w:sz w:val="24"/>
        </w:rPr>
        <w:t>有依法缴纳税收和社会保障资金的良好记录；</w:t>
      </w:r>
    </w:p>
    <w:p>
      <w:pPr>
        <w:numPr>
          <w:ilvl w:val="1"/>
          <w:numId w:val="2"/>
        </w:numPr>
        <w:spacing w:line="360" w:lineRule="auto"/>
        <w:rPr>
          <w:bCs/>
          <w:sz w:val="24"/>
        </w:rPr>
      </w:pPr>
      <w:r>
        <w:rPr>
          <w:rFonts w:hint="eastAsia"/>
          <w:bCs/>
          <w:sz w:val="24"/>
        </w:rPr>
        <w:t>参加政府采购活动前三年内，在经营活动中没有重大违法记录；</w:t>
      </w:r>
    </w:p>
    <w:p>
      <w:pPr>
        <w:numPr>
          <w:ilvl w:val="1"/>
          <w:numId w:val="2"/>
        </w:numPr>
        <w:spacing w:line="360" w:lineRule="auto"/>
        <w:rPr>
          <w:bCs/>
          <w:sz w:val="24"/>
        </w:rPr>
      </w:pPr>
      <w:r>
        <w:rPr>
          <w:rFonts w:hint="eastAsia"/>
          <w:bCs/>
          <w:sz w:val="24"/>
        </w:rPr>
        <w:t>法律、行政法规规定的其它条件。</w:t>
      </w:r>
    </w:p>
    <w:p>
      <w:pPr>
        <w:numPr>
          <w:ilvl w:val="1"/>
          <w:numId w:val="2"/>
        </w:numPr>
        <w:spacing w:line="360" w:lineRule="auto"/>
        <w:rPr>
          <w:b/>
          <w:bCs/>
          <w:sz w:val="24"/>
        </w:rPr>
      </w:pPr>
      <w:r>
        <w:rPr>
          <w:rFonts w:hint="eastAsia"/>
          <w:bCs/>
          <w:sz w:val="24"/>
        </w:rPr>
        <w:t>招标文件规定的其他资格要求。</w:t>
      </w:r>
    </w:p>
    <w:p>
      <w:pPr>
        <w:numPr>
          <w:ilvl w:val="0"/>
          <w:numId w:val="2"/>
        </w:numPr>
        <w:spacing w:line="360" w:lineRule="auto"/>
        <w:rPr>
          <w:b/>
          <w:bCs/>
          <w:sz w:val="24"/>
        </w:rPr>
      </w:pPr>
      <w:r>
        <w:rPr>
          <w:rFonts w:hint="eastAsia"/>
          <w:b/>
          <w:bCs/>
          <w:sz w:val="24"/>
        </w:rPr>
        <w:t>定义</w:t>
      </w:r>
    </w:p>
    <w:p>
      <w:pPr>
        <w:numPr>
          <w:ilvl w:val="1"/>
          <w:numId w:val="2"/>
        </w:numPr>
        <w:spacing w:line="360" w:lineRule="auto"/>
        <w:rPr>
          <w:bCs/>
          <w:sz w:val="24"/>
        </w:rPr>
      </w:pPr>
      <w:r>
        <w:rPr>
          <w:rFonts w:hint="eastAsia"/>
          <w:bCs/>
          <w:sz w:val="24"/>
        </w:rPr>
        <w:t>“货物”系指卖方按招标文件规定须向买方提供的一切设备、备品备件、手册及其它有关技术资料。</w:t>
      </w:r>
    </w:p>
    <w:p>
      <w:pPr>
        <w:numPr>
          <w:ilvl w:val="1"/>
          <w:numId w:val="2"/>
        </w:numPr>
        <w:spacing w:line="360" w:lineRule="auto"/>
        <w:rPr>
          <w:bCs/>
          <w:sz w:val="24"/>
        </w:rPr>
      </w:pPr>
      <w:r>
        <w:rPr>
          <w:rFonts w:hint="eastAsia"/>
          <w:bCs/>
          <w:sz w:val="24"/>
        </w:rPr>
        <w:t>“服务”系指招标文件规定卖方须承担的安装、调试、技术协助、培训及其它类似的义务。</w:t>
      </w:r>
    </w:p>
    <w:p>
      <w:pPr>
        <w:numPr>
          <w:ilvl w:val="0"/>
          <w:numId w:val="2"/>
        </w:numPr>
        <w:spacing w:line="360" w:lineRule="auto"/>
        <w:rPr>
          <w:b/>
          <w:bCs/>
          <w:sz w:val="24"/>
        </w:rPr>
      </w:pPr>
      <w:r>
        <w:rPr>
          <w:rFonts w:hint="eastAsia"/>
          <w:b/>
          <w:bCs/>
          <w:sz w:val="24"/>
        </w:rPr>
        <w:t>中标服务费</w:t>
      </w:r>
    </w:p>
    <w:p>
      <w:pPr>
        <w:tabs>
          <w:tab w:val="left" w:pos="525"/>
          <w:tab w:val="left" w:pos="735"/>
        </w:tabs>
        <w:spacing w:line="360" w:lineRule="auto"/>
        <w:ind w:firstLine="480" w:firstLineChars="200"/>
        <w:rPr>
          <w:sz w:val="24"/>
        </w:rPr>
      </w:pPr>
      <w:r>
        <w:rPr>
          <w:rFonts w:hint="eastAsia"/>
          <w:sz w:val="24"/>
        </w:rPr>
        <w:t>中标人须向招标人交纳合同总金额的</w:t>
      </w:r>
      <w:r>
        <w:rPr>
          <w:sz w:val="24"/>
        </w:rPr>
        <w:t>1%</w:t>
      </w:r>
      <w:r>
        <w:rPr>
          <w:rFonts w:hint="eastAsia"/>
          <w:sz w:val="24"/>
        </w:rPr>
        <w:t>作为中标服务费，中标服务费在收到中标通知书的</w:t>
      </w:r>
      <w:r>
        <w:rPr>
          <w:sz w:val="24"/>
        </w:rPr>
        <w:t>5</w:t>
      </w:r>
      <w:r>
        <w:rPr>
          <w:rFonts w:hint="eastAsia"/>
          <w:sz w:val="24"/>
        </w:rPr>
        <w:t>天内汇入以下账号：</w:t>
      </w:r>
    </w:p>
    <w:p>
      <w:pPr>
        <w:tabs>
          <w:tab w:val="left" w:pos="525"/>
          <w:tab w:val="left" w:pos="735"/>
        </w:tabs>
        <w:spacing w:line="360" w:lineRule="auto"/>
        <w:ind w:firstLine="480" w:firstLineChars="200"/>
        <w:rPr>
          <w:sz w:val="24"/>
        </w:rPr>
      </w:pPr>
      <w:r>
        <w:rPr>
          <w:rFonts w:hint="eastAsia"/>
          <w:sz w:val="24"/>
        </w:rPr>
        <w:t>收款单位名称：厦门大学嘉庚学院</w:t>
      </w:r>
    </w:p>
    <w:p>
      <w:pPr>
        <w:tabs>
          <w:tab w:val="left" w:pos="525"/>
          <w:tab w:val="left" w:pos="735"/>
        </w:tabs>
        <w:spacing w:line="360" w:lineRule="auto"/>
        <w:ind w:firstLine="480" w:firstLineChars="200"/>
        <w:rPr>
          <w:sz w:val="24"/>
        </w:rPr>
      </w:pPr>
      <w:r>
        <w:rPr>
          <w:rFonts w:hint="eastAsia"/>
          <w:sz w:val="24"/>
        </w:rPr>
        <w:t>开</w:t>
      </w:r>
      <w:r>
        <w:rPr>
          <w:sz w:val="24"/>
        </w:rPr>
        <w:t xml:space="preserve">   </w:t>
      </w:r>
      <w:r>
        <w:rPr>
          <w:rFonts w:hint="eastAsia"/>
          <w:sz w:val="24"/>
        </w:rPr>
        <w:t>户</w:t>
      </w:r>
      <w:r>
        <w:rPr>
          <w:sz w:val="24"/>
        </w:rPr>
        <w:t xml:space="preserve">   </w:t>
      </w:r>
      <w:r>
        <w:rPr>
          <w:rFonts w:hint="eastAsia"/>
          <w:sz w:val="24"/>
        </w:rPr>
        <w:t>行：中行龙海支行</w:t>
      </w:r>
    </w:p>
    <w:p>
      <w:pPr>
        <w:tabs>
          <w:tab w:val="left" w:pos="525"/>
          <w:tab w:val="left" w:pos="735"/>
        </w:tabs>
        <w:spacing w:line="360" w:lineRule="auto"/>
        <w:ind w:firstLine="480" w:firstLineChars="200"/>
        <w:rPr>
          <w:sz w:val="24"/>
        </w:rPr>
      </w:pPr>
      <w:r>
        <w:rPr>
          <w:rFonts w:hint="eastAsia"/>
          <w:sz w:val="24"/>
        </w:rPr>
        <w:t>账号：</w:t>
      </w:r>
      <w:r>
        <w:rPr>
          <w:sz w:val="24"/>
        </w:rPr>
        <w:t>4091 5837 0458</w:t>
      </w:r>
    </w:p>
    <w:p>
      <w:pPr>
        <w:tabs>
          <w:tab w:val="left" w:pos="525"/>
          <w:tab w:val="left" w:pos="735"/>
        </w:tabs>
        <w:spacing w:line="360" w:lineRule="auto"/>
        <w:ind w:firstLine="480" w:firstLineChars="200"/>
        <w:rPr>
          <w:sz w:val="24"/>
        </w:rPr>
      </w:pPr>
      <w:r>
        <w:rPr>
          <w:rFonts w:hint="eastAsia"/>
          <w:sz w:val="24"/>
        </w:rPr>
        <w:t>注意：</w:t>
      </w:r>
      <w:r>
        <w:rPr>
          <w:rFonts w:hint="eastAsia" w:ascii="宋体"/>
          <w:sz w:val="24"/>
        </w:rPr>
        <w:t>转款时，请在进帐单据中注明中标服务费、中标项目名称。</w:t>
      </w:r>
    </w:p>
    <w:p>
      <w:pPr>
        <w:numPr>
          <w:ilvl w:val="0"/>
          <w:numId w:val="2"/>
        </w:numPr>
        <w:spacing w:line="360" w:lineRule="auto"/>
        <w:rPr>
          <w:b/>
          <w:bCs/>
          <w:sz w:val="24"/>
        </w:rPr>
      </w:pPr>
      <w:r>
        <w:rPr>
          <w:rFonts w:hint="eastAsia"/>
          <w:b/>
          <w:bCs/>
          <w:sz w:val="24"/>
        </w:rPr>
        <w:t>投标费用</w:t>
      </w:r>
    </w:p>
    <w:p>
      <w:pPr>
        <w:spacing w:line="360" w:lineRule="auto"/>
        <w:ind w:firstLine="480" w:firstLineChars="200"/>
        <w:rPr>
          <w:b/>
          <w:bCs/>
          <w:sz w:val="24"/>
        </w:rPr>
      </w:pPr>
      <w:r>
        <w:rPr>
          <w:rFonts w:hint="eastAsia"/>
          <w:sz w:val="24"/>
        </w:rPr>
        <w:t>投标人应承担所有与准备和参加投标有关的全部费用。不论投标结果如何，采购人和用户均无义务和责任承担这些费用。</w:t>
      </w:r>
    </w:p>
    <w:p>
      <w:pPr>
        <w:numPr>
          <w:ilvl w:val="0"/>
          <w:numId w:val="2"/>
        </w:numPr>
        <w:spacing w:line="360" w:lineRule="auto"/>
        <w:rPr>
          <w:rFonts w:ascii="宋体"/>
          <w:b/>
          <w:bCs/>
          <w:sz w:val="24"/>
        </w:rPr>
      </w:pPr>
      <w:r>
        <w:rPr>
          <w:rFonts w:hint="eastAsia" w:ascii="宋体"/>
          <w:b/>
          <w:bCs/>
          <w:sz w:val="24"/>
        </w:rPr>
        <w:t>投标人少于三家，招标人有权宣布流标或者采用议标的形式确定供货单位。</w:t>
      </w:r>
    </w:p>
    <w:p>
      <w:pPr>
        <w:spacing w:line="360" w:lineRule="auto"/>
        <w:rPr>
          <w:rFonts w:ascii="宋体"/>
          <w:sz w:val="24"/>
        </w:rPr>
      </w:pPr>
    </w:p>
    <w:p>
      <w:pPr>
        <w:pStyle w:val="3"/>
        <w:numPr>
          <w:ilvl w:val="0"/>
          <w:numId w:val="4"/>
        </w:numPr>
        <w:jc w:val="center"/>
      </w:pPr>
      <w:bookmarkStart w:id="8" w:name="_Toc10184_WPSOffice_Level2"/>
      <w:bookmarkStart w:id="9" w:name="_Toc153463831"/>
      <w:r>
        <w:rPr>
          <w:rFonts w:hint="eastAsia"/>
        </w:rPr>
        <w:t>招标文件说明</w:t>
      </w:r>
      <w:bookmarkEnd w:id="8"/>
      <w:bookmarkEnd w:id="9"/>
    </w:p>
    <w:p>
      <w:pPr>
        <w:numPr>
          <w:ilvl w:val="0"/>
          <w:numId w:val="2"/>
        </w:numPr>
        <w:spacing w:line="360" w:lineRule="auto"/>
        <w:rPr>
          <w:b/>
          <w:bCs/>
          <w:sz w:val="24"/>
        </w:rPr>
      </w:pPr>
      <w:r>
        <w:rPr>
          <w:rFonts w:hint="eastAsia"/>
          <w:b/>
          <w:bCs/>
          <w:sz w:val="24"/>
        </w:rPr>
        <w:t>招标文件主要包括以下内容：</w:t>
      </w:r>
    </w:p>
    <w:p>
      <w:pPr>
        <w:numPr>
          <w:ilvl w:val="1"/>
          <w:numId w:val="2"/>
        </w:numPr>
        <w:spacing w:line="360" w:lineRule="auto"/>
        <w:rPr>
          <w:bCs/>
          <w:sz w:val="24"/>
        </w:rPr>
      </w:pPr>
      <w:r>
        <w:rPr>
          <w:rFonts w:hint="eastAsia"/>
          <w:bCs/>
          <w:sz w:val="24"/>
        </w:rPr>
        <w:t>投标邀请</w:t>
      </w:r>
    </w:p>
    <w:p>
      <w:pPr>
        <w:numPr>
          <w:ilvl w:val="1"/>
          <w:numId w:val="2"/>
        </w:numPr>
        <w:spacing w:line="360" w:lineRule="auto"/>
        <w:rPr>
          <w:bCs/>
          <w:sz w:val="24"/>
        </w:rPr>
      </w:pPr>
      <w:r>
        <w:rPr>
          <w:rFonts w:hint="eastAsia"/>
          <w:bCs/>
          <w:sz w:val="24"/>
        </w:rPr>
        <w:t>招标项目说明及要求</w:t>
      </w:r>
    </w:p>
    <w:p>
      <w:pPr>
        <w:numPr>
          <w:ilvl w:val="1"/>
          <w:numId w:val="2"/>
        </w:numPr>
        <w:spacing w:line="360" w:lineRule="auto"/>
        <w:rPr>
          <w:bCs/>
          <w:sz w:val="24"/>
        </w:rPr>
      </w:pPr>
      <w:r>
        <w:rPr>
          <w:rFonts w:hint="eastAsia"/>
          <w:bCs/>
          <w:sz w:val="24"/>
        </w:rPr>
        <w:t>投标人须知</w:t>
      </w:r>
    </w:p>
    <w:p>
      <w:pPr>
        <w:numPr>
          <w:ilvl w:val="1"/>
          <w:numId w:val="2"/>
        </w:numPr>
        <w:spacing w:line="360" w:lineRule="auto"/>
        <w:rPr>
          <w:bCs/>
          <w:sz w:val="24"/>
        </w:rPr>
      </w:pPr>
      <w:r>
        <w:rPr>
          <w:rFonts w:hint="eastAsia"/>
          <w:bCs/>
          <w:sz w:val="24"/>
        </w:rPr>
        <w:t>投标文件格式（详见第四章）</w:t>
      </w:r>
    </w:p>
    <w:p>
      <w:pPr>
        <w:numPr>
          <w:ilvl w:val="0"/>
          <w:numId w:val="2"/>
        </w:numPr>
        <w:spacing w:line="360" w:lineRule="auto"/>
        <w:rPr>
          <w:b/>
          <w:bCs/>
          <w:sz w:val="24"/>
        </w:rPr>
      </w:pPr>
      <w:r>
        <w:rPr>
          <w:rFonts w:hint="eastAsia"/>
          <w:b/>
          <w:bCs/>
          <w:sz w:val="24"/>
        </w:rPr>
        <w:t>招标文件的澄清、修改或时间变更</w:t>
      </w:r>
    </w:p>
    <w:p>
      <w:pPr>
        <w:numPr>
          <w:ilvl w:val="1"/>
          <w:numId w:val="2"/>
        </w:numPr>
        <w:spacing w:line="360" w:lineRule="auto"/>
        <w:rPr>
          <w:bCs/>
          <w:sz w:val="24"/>
        </w:rPr>
      </w:pPr>
      <w:r>
        <w:rPr>
          <w:rFonts w:hint="eastAsia"/>
          <w:bCs/>
          <w:sz w:val="24"/>
        </w:rPr>
        <w:t>招标人可以对已发出的招标文件进行必要的澄清或修改，澄清或修改的内容将依法以书面形式通知所有招标文件收受人。该澄清或修改的内容为招标文件的组成部分。</w:t>
      </w:r>
    </w:p>
    <w:p>
      <w:pPr>
        <w:numPr>
          <w:ilvl w:val="1"/>
          <w:numId w:val="2"/>
        </w:numPr>
        <w:spacing w:line="360" w:lineRule="auto"/>
        <w:rPr>
          <w:bCs/>
          <w:sz w:val="24"/>
        </w:rPr>
      </w:pPr>
      <w:r>
        <w:rPr>
          <w:rFonts w:hint="eastAsia"/>
          <w:bCs/>
          <w:sz w:val="24"/>
        </w:rPr>
        <w:t>招标人可视采购具体情况，延长投标截止时间和开标时间，并依法将变更时间书面通知所有招标文件收受人。</w:t>
      </w:r>
    </w:p>
    <w:p>
      <w:pPr>
        <w:tabs>
          <w:tab w:val="left" w:pos="525"/>
          <w:tab w:val="left" w:pos="735"/>
        </w:tabs>
        <w:spacing w:line="360" w:lineRule="auto"/>
        <w:ind w:firstLine="720" w:firstLineChars="300"/>
        <w:rPr>
          <w:rFonts w:ascii="宋体"/>
          <w:sz w:val="24"/>
        </w:rPr>
      </w:pPr>
    </w:p>
    <w:p>
      <w:pPr>
        <w:pStyle w:val="3"/>
        <w:numPr>
          <w:ilvl w:val="0"/>
          <w:numId w:val="4"/>
        </w:numPr>
        <w:jc w:val="center"/>
      </w:pPr>
      <w:bookmarkStart w:id="10" w:name="_Toc28895_WPSOffice_Level2"/>
      <w:bookmarkStart w:id="11" w:name="_Toc153463832"/>
      <w:r>
        <w:rPr>
          <w:rFonts w:hint="eastAsia"/>
        </w:rPr>
        <w:t>投标文件的编写</w:t>
      </w:r>
      <w:bookmarkEnd w:id="10"/>
      <w:bookmarkEnd w:id="11"/>
    </w:p>
    <w:p>
      <w:pPr>
        <w:numPr>
          <w:ilvl w:val="0"/>
          <w:numId w:val="2"/>
        </w:numPr>
        <w:spacing w:line="360" w:lineRule="auto"/>
        <w:rPr>
          <w:rFonts w:ascii="宋体"/>
          <w:b/>
          <w:sz w:val="24"/>
        </w:rPr>
      </w:pPr>
      <w:r>
        <w:rPr>
          <w:rFonts w:hint="eastAsia" w:ascii="宋体"/>
          <w:b/>
          <w:sz w:val="24"/>
        </w:rPr>
        <w:t>要求</w:t>
      </w:r>
    </w:p>
    <w:p>
      <w:pPr>
        <w:tabs>
          <w:tab w:val="left" w:pos="525"/>
          <w:tab w:val="left" w:pos="735"/>
        </w:tabs>
        <w:spacing w:line="360" w:lineRule="auto"/>
        <w:ind w:firstLine="480" w:firstLineChars="200"/>
        <w:rPr>
          <w:rFonts w:ascii="宋体"/>
          <w:sz w:val="24"/>
        </w:rPr>
      </w:pPr>
      <w:r>
        <w:rPr>
          <w:rFonts w:hint="eastAsia" w:ascii="宋体"/>
          <w:sz w:val="24"/>
        </w:rPr>
        <w:t>投标人应当按照招标文件的要求编制投标文件，并保证所提供的全部资料的真实性及准确性，投标文件应对招标文件提出的实质性要求和条件做出完全的响应。</w:t>
      </w:r>
    </w:p>
    <w:p>
      <w:pPr>
        <w:numPr>
          <w:ilvl w:val="0"/>
          <w:numId w:val="2"/>
        </w:numPr>
        <w:spacing w:line="360" w:lineRule="auto"/>
        <w:rPr>
          <w:rFonts w:ascii="宋体"/>
          <w:b/>
          <w:sz w:val="24"/>
        </w:rPr>
      </w:pPr>
      <w:r>
        <w:rPr>
          <w:rFonts w:hint="eastAsia" w:ascii="宋体"/>
          <w:b/>
          <w:sz w:val="24"/>
        </w:rPr>
        <w:t>投标语言及计量单位</w:t>
      </w:r>
    </w:p>
    <w:p>
      <w:pPr>
        <w:numPr>
          <w:ilvl w:val="1"/>
          <w:numId w:val="2"/>
        </w:numPr>
        <w:spacing w:line="360" w:lineRule="auto"/>
        <w:rPr>
          <w:bCs/>
          <w:sz w:val="24"/>
        </w:rPr>
      </w:pPr>
      <w:r>
        <w:rPr>
          <w:rFonts w:hint="eastAsia"/>
          <w:bCs/>
          <w:sz w:val="24"/>
        </w:rPr>
        <w:t>投标人和招标人就投标交换的文件和来往信件，应以中文形式书写。</w:t>
      </w:r>
    </w:p>
    <w:p>
      <w:pPr>
        <w:numPr>
          <w:ilvl w:val="1"/>
          <w:numId w:val="2"/>
        </w:numPr>
        <w:spacing w:line="360" w:lineRule="auto"/>
        <w:rPr>
          <w:bCs/>
          <w:sz w:val="24"/>
        </w:rPr>
      </w:pPr>
      <w:r>
        <w:rPr>
          <w:rFonts w:hint="eastAsia"/>
          <w:bCs/>
          <w:sz w:val="24"/>
        </w:rPr>
        <w:t>招标文件的技术规格中另有规定外，计量单位应使用中华人民共和国法定计量单位。</w:t>
      </w:r>
    </w:p>
    <w:p>
      <w:pPr>
        <w:numPr>
          <w:ilvl w:val="1"/>
          <w:numId w:val="2"/>
        </w:numPr>
        <w:spacing w:line="360" w:lineRule="auto"/>
        <w:rPr>
          <w:bCs/>
          <w:sz w:val="24"/>
        </w:rPr>
      </w:pPr>
      <w:r>
        <w:rPr>
          <w:rFonts w:hint="eastAsia"/>
          <w:bCs/>
          <w:sz w:val="24"/>
        </w:rPr>
        <w:t>投标报价以人民币为货币单位（招标文件另有要求的除外）。</w:t>
      </w:r>
    </w:p>
    <w:p>
      <w:pPr>
        <w:numPr>
          <w:ilvl w:val="0"/>
          <w:numId w:val="2"/>
        </w:numPr>
        <w:spacing w:line="360" w:lineRule="auto"/>
        <w:rPr>
          <w:rFonts w:ascii="宋体"/>
          <w:b/>
          <w:sz w:val="24"/>
        </w:rPr>
      </w:pPr>
      <w:r>
        <w:rPr>
          <w:rFonts w:hint="eastAsia" w:ascii="宋体"/>
          <w:b/>
          <w:sz w:val="24"/>
        </w:rPr>
        <w:t>投标文件的组成</w:t>
      </w:r>
    </w:p>
    <w:p>
      <w:pPr>
        <w:numPr>
          <w:ilvl w:val="1"/>
          <w:numId w:val="2"/>
        </w:numPr>
        <w:spacing w:line="360" w:lineRule="auto"/>
        <w:rPr>
          <w:bCs/>
          <w:sz w:val="24"/>
        </w:rPr>
      </w:pPr>
      <w:r>
        <w:rPr>
          <w:rFonts w:hint="eastAsia"/>
          <w:bCs/>
          <w:sz w:val="24"/>
        </w:rPr>
        <w:t>投标文件应包括下列部分：</w:t>
      </w:r>
    </w:p>
    <w:p>
      <w:pPr>
        <w:numPr>
          <w:ilvl w:val="2"/>
          <w:numId w:val="2"/>
        </w:numPr>
        <w:spacing w:line="360" w:lineRule="auto"/>
        <w:rPr>
          <w:bCs/>
          <w:sz w:val="24"/>
        </w:rPr>
      </w:pPr>
      <w:r>
        <w:rPr>
          <w:rFonts w:hint="eastAsia"/>
          <w:bCs/>
          <w:sz w:val="24"/>
        </w:rPr>
        <w:t>投标书、开标一览表以及投标价格一览表等；</w:t>
      </w:r>
    </w:p>
    <w:p>
      <w:pPr>
        <w:numPr>
          <w:ilvl w:val="2"/>
          <w:numId w:val="2"/>
        </w:numPr>
        <w:spacing w:line="360" w:lineRule="auto"/>
        <w:rPr>
          <w:bCs/>
          <w:sz w:val="24"/>
        </w:rPr>
      </w:pPr>
      <w:r>
        <w:rPr>
          <w:rFonts w:hint="eastAsia"/>
          <w:bCs/>
          <w:sz w:val="24"/>
        </w:rPr>
        <w:t>投标资格证明文件；</w:t>
      </w:r>
    </w:p>
    <w:p>
      <w:pPr>
        <w:numPr>
          <w:ilvl w:val="2"/>
          <w:numId w:val="2"/>
        </w:numPr>
        <w:spacing w:line="360" w:lineRule="auto"/>
        <w:rPr>
          <w:bCs/>
          <w:sz w:val="24"/>
        </w:rPr>
      </w:pPr>
      <w:r>
        <w:rPr>
          <w:rFonts w:hint="eastAsia"/>
          <w:bCs/>
          <w:sz w:val="24"/>
        </w:rPr>
        <w:t>投标货物符合招标文件规定的证明文件、技术响应文件和投标人认为需要加以说明的其他内容。</w:t>
      </w:r>
    </w:p>
    <w:p>
      <w:pPr>
        <w:numPr>
          <w:ilvl w:val="1"/>
          <w:numId w:val="2"/>
        </w:numPr>
        <w:spacing w:line="360" w:lineRule="auto"/>
        <w:rPr>
          <w:bCs/>
          <w:sz w:val="24"/>
        </w:rPr>
      </w:pPr>
      <w:r>
        <w:rPr>
          <w:rFonts w:hint="eastAsia"/>
          <w:bCs/>
          <w:sz w:val="24"/>
        </w:rPr>
        <w:t>投标人应将文件装订成册，并填写投标文件目录或资料清单。</w:t>
      </w:r>
    </w:p>
    <w:p>
      <w:pPr>
        <w:numPr>
          <w:ilvl w:val="0"/>
          <w:numId w:val="2"/>
        </w:numPr>
        <w:spacing w:line="360" w:lineRule="auto"/>
        <w:rPr>
          <w:rFonts w:ascii="宋体"/>
          <w:b/>
          <w:sz w:val="24"/>
        </w:rPr>
      </w:pPr>
      <w:r>
        <w:rPr>
          <w:rFonts w:hint="eastAsia" w:ascii="宋体"/>
          <w:b/>
          <w:sz w:val="24"/>
        </w:rPr>
        <w:t>投标文件格式</w:t>
      </w:r>
    </w:p>
    <w:p>
      <w:pPr>
        <w:numPr>
          <w:ilvl w:val="1"/>
          <w:numId w:val="2"/>
        </w:numPr>
        <w:spacing w:line="360" w:lineRule="auto"/>
        <w:rPr>
          <w:bCs/>
          <w:sz w:val="24"/>
        </w:rPr>
      </w:pPr>
      <w:r>
        <w:rPr>
          <w:rFonts w:hint="eastAsia"/>
          <w:bCs/>
          <w:sz w:val="24"/>
        </w:rPr>
        <w:t>投标人应按招标文件中提供的投标文件格式填写投标书、开标一览表及投标价格一览表，注明提供货物的名称、数量和价格等。</w:t>
      </w:r>
    </w:p>
    <w:p>
      <w:pPr>
        <w:numPr>
          <w:ilvl w:val="1"/>
          <w:numId w:val="2"/>
        </w:numPr>
        <w:spacing w:line="360" w:lineRule="auto"/>
        <w:rPr>
          <w:bCs/>
          <w:sz w:val="24"/>
        </w:rPr>
      </w:pPr>
      <w:r>
        <w:rPr>
          <w:rFonts w:hint="eastAsia"/>
          <w:bCs/>
          <w:sz w:val="24"/>
        </w:rPr>
        <w:t>填写投标价格表时应注意下列要求：</w:t>
      </w:r>
    </w:p>
    <w:p>
      <w:pPr>
        <w:numPr>
          <w:ilvl w:val="2"/>
          <w:numId w:val="2"/>
        </w:numPr>
        <w:spacing w:line="360" w:lineRule="auto"/>
        <w:rPr>
          <w:bCs/>
          <w:sz w:val="24"/>
        </w:rPr>
      </w:pPr>
      <w:r>
        <w:rPr>
          <w:rFonts w:hint="eastAsia"/>
          <w:bCs/>
          <w:sz w:val="24"/>
        </w:rPr>
        <w:t>技术规格中特别要求的备品备件、易损件和专用工具的费用。</w:t>
      </w:r>
    </w:p>
    <w:p>
      <w:pPr>
        <w:numPr>
          <w:ilvl w:val="2"/>
          <w:numId w:val="2"/>
        </w:numPr>
        <w:spacing w:line="360" w:lineRule="auto"/>
        <w:rPr>
          <w:bCs/>
          <w:sz w:val="24"/>
        </w:rPr>
      </w:pPr>
      <w:r>
        <w:rPr>
          <w:rFonts w:hint="eastAsia"/>
          <w:bCs/>
          <w:sz w:val="24"/>
        </w:rPr>
        <w:t>技术规格中特别要求的安装、调试、培训及其它附件服务的费用。</w:t>
      </w:r>
    </w:p>
    <w:p>
      <w:pPr>
        <w:numPr>
          <w:ilvl w:val="2"/>
          <w:numId w:val="2"/>
        </w:numPr>
        <w:spacing w:line="360" w:lineRule="auto"/>
        <w:rPr>
          <w:bCs/>
          <w:sz w:val="24"/>
        </w:rPr>
      </w:pPr>
      <w:r>
        <w:rPr>
          <w:rFonts w:hint="eastAsia"/>
          <w:bCs/>
          <w:sz w:val="24"/>
        </w:rPr>
        <w:t>配套设备或设施的数量和费用。</w:t>
      </w:r>
    </w:p>
    <w:p>
      <w:pPr>
        <w:numPr>
          <w:ilvl w:val="0"/>
          <w:numId w:val="2"/>
        </w:numPr>
        <w:spacing w:line="360" w:lineRule="auto"/>
        <w:rPr>
          <w:rFonts w:ascii="宋体"/>
          <w:b/>
          <w:sz w:val="24"/>
        </w:rPr>
      </w:pPr>
      <w:r>
        <w:rPr>
          <w:rFonts w:hint="eastAsia" w:ascii="宋体"/>
          <w:b/>
          <w:sz w:val="24"/>
        </w:rPr>
        <w:t>投标人资格证明文件</w:t>
      </w:r>
    </w:p>
    <w:p>
      <w:pPr>
        <w:numPr>
          <w:ilvl w:val="1"/>
          <w:numId w:val="2"/>
        </w:numPr>
        <w:spacing w:line="360" w:lineRule="auto"/>
        <w:rPr>
          <w:bCs/>
          <w:sz w:val="24"/>
        </w:rPr>
      </w:pPr>
      <w:r>
        <w:rPr>
          <w:rFonts w:hint="eastAsia"/>
          <w:bCs/>
          <w:sz w:val="24"/>
        </w:rPr>
        <w:t>投标人必须在投标文件中提供的以下证明其有资格进行投标和有能力履行合同的文件：</w:t>
      </w:r>
    </w:p>
    <w:p>
      <w:pPr>
        <w:numPr>
          <w:ilvl w:val="2"/>
          <w:numId w:val="2"/>
        </w:numPr>
        <w:spacing w:line="360" w:lineRule="auto"/>
        <w:rPr>
          <w:bCs/>
          <w:sz w:val="24"/>
        </w:rPr>
      </w:pPr>
      <w:r>
        <w:rPr>
          <w:rFonts w:hint="eastAsia"/>
          <w:bCs/>
          <w:sz w:val="24"/>
        </w:rPr>
        <w:t>投标人的工商营业执照有效复印件壹份。</w:t>
      </w:r>
    </w:p>
    <w:p>
      <w:pPr>
        <w:numPr>
          <w:ilvl w:val="2"/>
          <w:numId w:val="2"/>
        </w:numPr>
        <w:spacing w:line="360" w:lineRule="auto"/>
        <w:rPr>
          <w:bCs/>
          <w:sz w:val="24"/>
        </w:rPr>
      </w:pPr>
      <w:r>
        <w:rPr>
          <w:rFonts w:hint="eastAsia"/>
          <w:bCs/>
          <w:sz w:val="24"/>
        </w:rPr>
        <w:t>法定代表人对投标代表的授权书原件壹份。</w:t>
      </w:r>
    </w:p>
    <w:p>
      <w:pPr>
        <w:numPr>
          <w:ilvl w:val="2"/>
          <w:numId w:val="2"/>
        </w:numPr>
        <w:spacing w:line="360" w:lineRule="auto"/>
        <w:rPr>
          <w:bCs/>
          <w:sz w:val="24"/>
        </w:rPr>
      </w:pPr>
      <w:r>
        <w:rPr>
          <w:rFonts w:hint="eastAsia"/>
          <w:bCs/>
          <w:sz w:val="24"/>
        </w:rPr>
        <w:t>投标货物的制造商通过质量管理体系认证证明。</w:t>
      </w:r>
    </w:p>
    <w:p>
      <w:pPr>
        <w:numPr>
          <w:ilvl w:val="2"/>
          <w:numId w:val="2"/>
        </w:numPr>
        <w:spacing w:line="360" w:lineRule="auto"/>
        <w:rPr>
          <w:bCs/>
          <w:sz w:val="24"/>
        </w:rPr>
      </w:pPr>
      <w:r>
        <w:rPr>
          <w:rFonts w:hint="eastAsia"/>
          <w:bCs/>
          <w:sz w:val="24"/>
        </w:rPr>
        <w:t>投标货物的生产厂家的营业执照复印件和税务登记证明复印件。</w:t>
      </w:r>
    </w:p>
    <w:p>
      <w:pPr>
        <w:numPr>
          <w:ilvl w:val="1"/>
          <w:numId w:val="2"/>
        </w:numPr>
        <w:spacing w:line="360" w:lineRule="auto"/>
        <w:rPr>
          <w:bCs/>
          <w:sz w:val="24"/>
        </w:rPr>
      </w:pPr>
      <w:r>
        <w:rPr>
          <w:rFonts w:hint="eastAsia"/>
          <w:bCs/>
          <w:sz w:val="24"/>
        </w:rPr>
        <w:t>投标人须提供具有履行合同所需的财务、技术和生产能力的证明文件。</w:t>
      </w:r>
    </w:p>
    <w:p>
      <w:pPr>
        <w:numPr>
          <w:ilvl w:val="1"/>
          <w:numId w:val="2"/>
        </w:numPr>
        <w:spacing w:line="360" w:lineRule="auto"/>
        <w:rPr>
          <w:bCs/>
          <w:sz w:val="24"/>
        </w:rPr>
      </w:pPr>
      <w:r>
        <w:rPr>
          <w:rFonts w:hint="eastAsia"/>
          <w:bCs/>
          <w:sz w:val="24"/>
        </w:rPr>
        <w:t>投标人须提供近两年来相关案例的业绩（可追溯，特别是在高校及本省、市的案例），提供合同复印件（原件备查）。</w:t>
      </w:r>
    </w:p>
    <w:p>
      <w:pPr>
        <w:numPr>
          <w:ilvl w:val="0"/>
          <w:numId w:val="2"/>
        </w:numPr>
        <w:spacing w:line="360" w:lineRule="auto"/>
        <w:rPr>
          <w:rFonts w:ascii="宋体"/>
          <w:b/>
          <w:sz w:val="24"/>
        </w:rPr>
      </w:pPr>
      <w:r>
        <w:rPr>
          <w:rFonts w:hint="eastAsia" w:ascii="宋体"/>
          <w:b/>
          <w:sz w:val="24"/>
        </w:rPr>
        <w:t>投标货物符合招标文件规定的技术响应文件：</w:t>
      </w:r>
    </w:p>
    <w:p>
      <w:pPr>
        <w:numPr>
          <w:ilvl w:val="1"/>
          <w:numId w:val="2"/>
        </w:numPr>
        <w:spacing w:line="360" w:lineRule="auto"/>
        <w:rPr>
          <w:bCs/>
          <w:sz w:val="24"/>
        </w:rPr>
      </w:pPr>
      <w:r>
        <w:rPr>
          <w:rFonts w:hint="eastAsia"/>
          <w:bCs/>
          <w:sz w:val="24"/>
        </w:rPr>
        <w:t>投标人须提交证明其提供货物和服务符合招标文件规定的技术响应文件，作为投标文件的一部分。</w:t>
      </w:r>
    </w:p>
    <w:p>
      <w:pPr>
        <w:numPr>
          <w:ilvl w:val="1"/>
          <w:numId w:val="2"/>
        </w:numPr>
        <w:spacing w:line="360" w:lineRule="auto"/>
        <w:rPr>
          <w:bCs/>
          <w:sz w:val="24"/>
        </w:rPr>
      </w:pPr>
      <w:r>
        <w:rPr>
          <w:rFonts w:hint="eastAsia"/>
          <w:bCs/>
          <w:sz w:val="24"/>
        </w:rPr>
        <w:t>上述文件可以是文字资料，图纸和数据，并须提供：</w:t>
      </w:r>
    </w:p>
    <w:p>
      <w:pPr>
        <w:numPr>
          <w:ilvl w:val="2"/>
          <w:numId w:val="2"/>
        </w:numPr>
        <w:spacing w:line="360" w:lineRule="auto"/>
        <w:rPr>
          <w:bCs/>
          <w:sz w:val="24"/>
        </w:rPr>
      </w:pPr>
      <w:r>
        <w:rPr>
          <w:rFonts w:hint="eastAsia"/>
          <w:bCs/>
          <w:sz w:val="24"/>
        </w:rPr>
        <w:t>货物主要技术性能和配套设备建设的详细描述。</w:t>
      </w:r>
    </w:p>
    <w:p>
      <w:pPr>
        <w:numPr>
          <w:ilvl w:val="2"/>
          <w:numId w:val="2"/>
        </w:numPr>
        <w:spacing w:line="360" w:lineRule="auto"/>
        <w:rPr>
          <w:bCs/>
          <w:sz w:val="24"/>
        </w:rPr>
      </w:pPr>
      <w:r>
        <w:rPr>
          <w:rFonts w:hint="eastAsia"/>
          <w:bCs/>
          <w:sz w:val="24"/>
        </w:rPr>
        <w:t>如果规格技术参数有偏离，请填附表</w:t>
      </w:r>
      <w:r>
        <w:rPr>
          <w:bCs/>
          <w:sz w:val="24"/>
        </w:rPr>
        <w:t>4</w:t>
      </w:r>
      <w:r>
        <w:rPr>
          <w:rFonts w:hint="eastAsia"/>
          <w:bCs/>
          <w:sz w:val="24"/>
        </w:rPr>
        <w:t>（规格、技术参数偏离表）。</w:t>
      </w:r>
    </w:p>
    <w:p>
      <w:pPr>
        <w:numPr>
          <w:ilvl w:val="0"/>
          <w:numId w:val="2"/>
        </w:numPr>
        <w:spacing w:line="360" w:lineRule="auto"/>
        <w:rPr>
          <w:rFonts w:ascii="宋体"/>
          <w:b/>
          <w:sz w:val="24"/>
        </w:rPr>
      </w:pPr>
      <w:r>
        <w:rPr>
          <w:rFonts w:hint="eastAsia" w:ascii="宋体"/>
          <w:b/>
          <w:sz w:val="24"/>
        </w:rPr>
        <w:t>投标有效期</w:t>
      </w:r>
    </w:p>
    <w:p>
      <w:pPr>
        <w:tabs>
          <w:tab w:val="left" w:pos="-315"/>
          <w:tab w:val="left" w:pos="735"/>
        </w:tabs>
        <w:spacing w:line="360" w:lineRule="auto"/>
        <w:ind w:firstLine="480" w:firstLineChars="200"/>
        <w:rPr>
          <w:rFonts w:ascii="宋体"/>
          <w:sz w:val="24"/>
        </w:rPr>
      </w:pPr>
      <w:r>
        <w:rPr>
          <w:rFonts w:hint="eastAsia" w:ascii="宋体"/>
          <w:sz w:val="24"/>
        </w:rPr>
        <w:t>投标文件从开标之日起，投标有效期为30天。</w:t>
      </w:r>
    </w:p>
    <w:p>
      <w:pPr>
        <w:numPr>
          <w:ilvl w:val="0"/>
          <w:numId w:val="2"/>
        </w:numPr>
        <w:spacing w:line="360" w:lineRule="auto"/>
        <w:rPr>
          <w:rFonts w:ascii="宋体"/>
          <w:b/>
          <w:sz w:val="24"/>
        </w:rPr>
      </w:pPr>
      <w:r>
        <w:rPr>
          <w:rFonts w:hint="eastAsia" w:ascii="宋体"/>
          <w:b/>
          <w:sz w:val="24"/>
        </w:rPr>
        <w:t>投标文件的签署及规定</w:t>
      </w:r>
    </w:p>
    <w:p>
      <w:pPr>
        <w:numPr>
          <w:ilvl w:val="1"/>
          <w:numId w:val="2"/>
        </w:numPr>
        <w:spacing w:line="360" w:lineRule="auto"/>
        <w:rPr>
          <w:bCs/>
          <w:sz w:val="24"/>
        </w:rPr>
      </w:pPr>
      <w:r>
        <w:rPr>
          <w:rFonts w:hint="eastAsia"/>
          <w:bCs/>
          <w:sz w:val="24"/>
        </w:rPr>
        <w:t>投标文件分</w:t>
      </w:r>
      <w:r>
        <w:rPr>
          <w:rFonts w:hint="eastAsia"/>
          <w:b/>
          <w:bCs/>
          <w:sz w:val="24"/>
        </w:rPr>
        <w:t>正本壹份</w:t>
      </w:r>
      <w:r>
        <w:rPr>
          <w:rFonts w:hint="eastAsia"/>
          <w:bCs/>
          <w:sz w:val="24"/>
        </w:rPr>
        <w:t>和</w:t>
      </w:r>
      <w:r>
        <w:rPr>
          <w:rFonts w:hint="eastAsia"/>
          <w:b/>
          <w:bCs/>
          <w:sz w:val="24"/>
        </w:rPr>
        <w:t>副本肆份</w:t>
      </w:r>
      <w:r>
        <w:rPr>
          <w:rFonts w:hint="eastAsia"/>
          <w:bCs/>
          <w:sz w:val="24"/>
        </w:rPr>
        <w:t>，分别封装。在每一份投标文件及封袋上要明确注明“正本”或“副本”字样，若正本和副本有差异，以正本为准。</w:t>
      </w:r>
    </w:p>
    <w:p>
      <w:pPr>
        <w:numPr>
          <w:ilvl w:val="1"/>
          <w:numId w:val="2"/>
        </w:numPr>
        <w:spacing w:line="360" w:lineRule="auto"/>
        <w:rPr>
          <w:bCs/>
          <w:sz w:val="24"/>
        </w:rPr>
      </w:pPr>
      <w:r>
        <w:rPr>
          <w:rFonts w:hint="eastAsia"/>
          <w:bCs/>
          <w:sz w:val="24"/>
        </w:rPr>
        <w:t>投标文件封口处须加盖投标人印章或由投标代表签名，并标明采购编号、投标项目。</w:t>
      </w:r>
    </w:p>
    <w:p>
      <w:pPr>
        <w:numPr>
          <w:ilvl w:val="1"/>
          <w:numId w:val="2"/>
        </w:numPr>
        <w:spacing w:line="360" w:lineRule="auto"/>
        <w:rPr>
          <w:bCs/>
          <w:sz w:val="24"/>
        </w:rPr>
      </w:pPr>
      <w:r>
        <w:rPr>
          <w:rFonts w:hint="eastAsia"/>
          <w:bCs/>
          <w:sz w:val="24"/>
        </w:rPr>
        <w:t>投标文件正本和副本须打印并经正式授权的投标代表签字。</w:t>
      </w:r>
    </w:p>
    <w:p>
      <w:pPr>
        <w:numPr>
          <w:ilvl w:val="1"/>
          <w:numId w:val="2"/>
        </w:numPr>
        <w:spacing w:line="360" w:lineRule="auto"/>
        <w:rPr>
          <w:bCs/>
          <w:sz w:val="24"/>
        </w:rPr>
      </w:pPr>
      <w:r>
        <w:rPr>
          <w:rFonts w:hint="eastAsia"/>
          <w:bCs/>
          <w:sz w:val="24"/>
        </w:rPr>
        <w:t>除投标人对错处做必要的修改外，投标文件中不允许有加行涂抹。</w:t>
      </w:r>
    </w:p>
    <w:p>
      <w:pPr>
        <w:numPr>
          <w:ilvl w:val="1"/>
          <w:numId w:val="2"/>
        </w:numPr>
        <w:spacing w:line="360" w:lineRule="auto"/>
        <w:rPr>
          <w:bCs/>
          <w:sz w:val="24"/>
        </w:rPr>
      </w:pPr>
      <w:r>
        <w:rPr>
          <w:rFonts w:hint="eastAsia"/>
          <w:bCs/>
          <w:sz w:val="24"/>
        </w:rPr>
        <w:t>以电报、电话、传真或电子邮件等方式的投标概不接受。</w:t>
      </w:r>
    </w:p>
    <w:p>
      <w:pPr>
        <w:pStyle w:val="3"/>
        <w:numPr>
          <w:ilvl w:val="0"/>
          <w:numId w:val="4"/>
        </w:numPr>
        <w:jc w:val="center"/>
      </w:pPr>
      <w:bookmarkStart w:id="12" w:name="_Toc153463833"/>
      <w:bookmarkStart w:id="13" w:name="_Toc4101_WPSOffice_Level2"/>
      <w:r>
        <w:rPr>
          <w:rFonts w:hint="eastAsia"/>
        </w:rPr>
        <w:t>投标文件的递交</w:t>
      </w:r>
      <w:bookmarkEnd w:id="12"/>
      <w:bookmarkEnd w:id="13"/>
    </w:p>
    <w:p>
      <w:pPr>
        <w:numPr>
          <w:ilvl w:val="0"/>
          <w:numId w:val="2"/>
        </w:numPr>
        <w:spacing w:line="360" w:lineRule="auto"/>
        <w:rPr>
          <w:rFonts w:ascii="宋体"/>
          <w:b/>
          <w:sz w:val="24"/>
        </w:rPr>
      </w:pPr>
      <w:r>
        <w:rPr>
          <w:rFonts w:hint="eastAsia" w:ascii="宋体"/>
          <w:b/>
          <w:sz w:val="24"/>
        </w:rPr>
        <w:t>所有投标文件都必须在投标截止时间之前，将投标文件密封后送达投标地点。招标人拒绝接受投标截止时间后送达的投标文件。</w:t>
      </w:r>
    </w:p>
    <w:p>
      <w:pPr>
        <w:numPr>
          <w:ilvl w:val="0"/>
          <w:numId w:val="2"/>
        </w:numPr>
        <w:spacing w:line="360" w:lineRule="auto"/>
        <w:rPr>
          <w:rFonts w:ascii="宋体"/>
          <w:b/>
          <w:sz w:val="24"/>
        </w:rPr>
      </w:pPr>
      <w:r>
        <w:rPr>
          <w:rFonts w:hint="eastAsia" w:ascii="宋体"/>
          <w:b/>
          <w:sz w:val="24"/>
        </w:rPr>
        <w:t>投标人可在投标截止时间前，对所递交的投标文件进行补充、修改或者撤回，并书面通知招标人。补充、修改的内容为投标文件的组成部分。</w:t>
      </w:r>
    </w:p>
    <w:p>
      <w:pPr>
        <w:numPr>
          <w:ilvl w:val="0"/>
          <w:numId w:val="2"/>
        </w:numPr>
        <w:spacing w:line="360" w:lineRule="auto"/>
        <w:rPr>
          <w:rFonts w:ascii="宋体"/>
          <w:b/>
          <w:sz w:val="24"/>
        </w:rPr>
      </w:pPr>
      <w:r>
        <w:rPr>
          <w:rFonts w:hint="eastAsia" w:ascii="宋体"/>
          <w:b/>
          <w:sz w:val="24"/>
        </w:rPr>
        <w:t>投标人对投标文件的修改或撤销应密封递交，并在封面注明“补充、修改投标文件”或“撤销投标”字样。</w:t>
      </w:r>
    </w:p>
    <w:p>
      <w:pPr>
        <w:pStyle w:val="3"/>
        <w:numPr>
          <w:ilvl w:val="0"/>
          <w:numId w:val="4"/>
        </w:numPr>
        <w:jc w:val="center"/>
      </w:pPr>
      <w:bookmarkStart w:id="14" w:name="_Toc153463834"/>
      <w:bookmarkStart w:id="15" w:name="_Toc15487_WPSOffice_Level2"/>
      <w:r>
        <w:rPr>
          <w:rFonts w:hint="eastAsia"/>
        </w:rPr>
        <w:t>开标和评标</w:t>
      </w:r>
      <w:bookmarkEnd w:id="14"/>
      <w:bookmarkEnd w:id="15"/>
    </w:p>
    <w:p>
      <w:pPr>
        <w:numPr>
          <w:ilvl w:val="0"/>
          <w:numId w:val="2"/>
        </w:numPr>
        <w:spacing w:line="360" w:lineRule="auto"/>
        <w:rPr>
          <w:rFonts w:ascii="宋体"/>
          <w:b/>
          <w:sz w:val="24"/>
        </w:rPr>
      </w:pPr>
      <w:r>
        <w:rPr>
          <w:rFonts w:hint="eastAsia" w:ascii="宋体"/>
          <w:b/>
          <w:sz w:val="24"/>
        </w:rPr>
        <w:t>开标</w:t>
      </w:r>
    </w:p>
    <w:p>
      <w:pPr>
        <w:numPr>
          <w:ilvl w:val="1"/>
          <w:numId w:val="2"/>
        </w:numPr>
        <w:spacing w:line="360" w:lineRule="auto"/>
        <w:rPr>
          <w:bCs/>
          <w:sz w:val="24"/>
        </w:rPr>
      </w:pPr>
      <w:r>
        <w:rPr>
          <w:rFonts w:hint="eastAsia"/>
          <w:bCs/>
          <w:sz w:val="24"/>
        </w:rPr>
        <w:t>招标人在招标公告规定的时间或另外确定的时间和地点进行公开开标，投标人和用户可派代表参加。</w:t>
      </w:r>
    </w:p>
    <w:p>
      <w:pPr>
        <w:numPr>
          <w:ilvl w:val="1"/>
          <w:numId w:val="2"/>
        </w:numPr>
        <w:spacing w:line="360" w:lineRule="auto"/>
        <w:rPr>
          <w:bCs/>
          <w:sz w:val="24"/>
        </w:rPr>
      </w:pPr>
      <w:r>
        <w:rPr>
          <w:rFonts w:hint="eastAsia"/>
          <w:bCs/>
          <w:sz w:val="24"/>
        </w:rPr>
        <w:t>开标时，先查验投标文件密封情况，确定无误后拆封唱标。主要公开投标文件正本“开标一览表”内容以及招标人认为必要的其它内容。</w:t>
      </w:r>
    </w:p>
    <w:p>
      <w:pPr>
        <w:numPr>
          <w:ilvl w:val="1"/>
          <w:numId w:val="2"/>
        </w:numPr>
        <w:spacing w:line="360" w:lineRule="auto"/>
        <w:rPr>
          <w:rFonts w:ascii="宋体"/>
          <w:sz w:val="24"/>
        </w:rPr>
      </w:pPr>
      <w:r>
        <w:rPr>
          <w:rFonts w:hint="eastAsia"/>
          <w:bCs/>
          <w:sz w:val="24"/>
        </w:rPr>
        <w:t>开标时，开标一览表（报价表）内容与投标文件中明细表内容不相符的，以开标一览表（报价表）为准。</w:t>
      </w:r>
      <w:r>
        <w:rPr>
          <w:rFonts w:hint="eastAsia" w:ascii="宋体"/>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numPr>
          <w:ilvl w:val="1"/>
          <w:numId w:val="2"/>
        </w:numPr>
        <w:spacing w:line="360" w:lineRule="auto"/>
        <w:rPr>
          <w:bCs/>
          <w:sz w:val="24"/>
        </w:rPr>
      </w:pPr>
      <w:r>
        <w:rPr>
          <w:rFonts w:hint="eastAsia"/>
          <w:bCs/>
          <w:sz w:val="24"/>
        </w:rPr>
        <w:t>开标时，设开标记录员一名，如实记录开标过程发生的事件及唱标主要内容。</w:t>
      </w:r>
    </w:p>
    <w:p>
      <w:pPr>
        <w:numPr>
          <w:ilvl w:val="1"/>
          <w:numId w:val="2"/>
        </w:numPr>
        <w:spacing w:line="360" w:lineRule="auto"/>
        <w:rPr>
          <w:bCs/>
          <w:sz w:val="24"/>
        </w:rPr>
      </w:pPr>
      <w:r>
        <w:rPr>
          <w:rFonts w:hint="eastAsia"/>
          <w:bCs/>
          <w:sz w:val="24"/>
        </w:rPr>
        <w:t>开标时，设开标监督员一名，监督开标程序是否正确，唱标人是否如实公布投标文件主要内容。</w:t>
      </w:r>
    </w:p>
    <w:p>
      <w:pPr>
        <w:numPr>
          <w:ilvl w:val="1"/>
          <w:numId w:val="2"/>
        </w:numPr>
        <w:spacing w:line="360" w:lineRule="auto"/>
        <w:rPr>
          <w:bCs/>
          <w:sz w:val="24"/>
        </w:rPr>
      </w:pPr>
      <w:r>
        <w:rPr>
          <w:rFonts w:hint="eastAsia"/>
          <w:bCs/>
          <w:sz w:val="24"/>
        </w:rPr>
        <w:t>澄清</w:t>
      </w:r>
    </w:p>
    <w:p>
      <w:pPr>
        <w:tabs>
          <w:tab w:val="left" w:pos="525"/>
          <w:tab w:val="left" w:pos="735"/>
        </w:tabs>
        <w:spacing w:line="360" w:lineRule="auto"/>
        <w:ind w:firstLine="480" w:firstLineChars="200"/>
        <w:rPr>
          <w:rFonts w:ascii="宋体"/>
          <w:sz w:val="24"/>
        </w:rPr>
      </w:pPr>
      <w:r>
        <w:rPr>
          <w:rFonts w:hint="eastAsia" w:ascii="宋体"/>
          <w:sz w:val="24"/>
        </w:rPr>
        <w:t>唱标结束后，经开标会主持人同意，投标人代表可就错唱或漏唱的内容要求澄清。澄清要求以开标会现场为准，招标人不接受开标会后的任何澄清要求。</w:t>
      </w:r>
    </w:p>
    <w:p>
      <w:pPr>
        <w:numPr>
          <w:ilvl w:val="0"/>
          <w:numId w:val="2"/>
        </w:numPr>
        <w:spacing w:line="360" w:lineRule="auto"/>
        <w:rPr>
          <w:rFonts w:ascii="宋体"/>
          <w:b/>
          <w:sz w:val="24"/>
        </w:rPr>
      </w:pPr>
      <w:r>
        <w:rPr>
          <w:rFonts w:hint="eastAsia" w:ascii="宋体"/>
          <w:b/>
          <w:sz w:val="24"/>
        </w:rPr>
        <w:t>评标</w:t>
      </w:r>
    </w:p>
    <w:p>
      <w:pPr>
        <w:numPr>
          <w:ilvl w:val="1"/>
          <w:numId w:val="2"/>
        </w:numPr>
        <w:spacing w:line="360" w:lineRule="auto"/>
        <w:rPr>
          <w:bCs/>
          <w:sz w:val="24"/>
        </w:rPr>
      </w:pPr>
      <w:r>
        <w:rPr>
          <w:rFonts w:hint="eastAsia"/>
          <w:bCs/>
          <w:sz w:val="24"/>
        </w:rPr>
        <w:t>招标人将根据招标采购项目特点组建评标委员会，评标委员会对投标文件进行审查、质疑、比较和评价。</w:t>
      </w:r>
    </w:p>
    <w:p>
      <w:pPr>
        <w:numPr>
          <w:ilvl w:val="2"/>
          <w:numId w:val="2"/>
        </w:numPr>
        <w:spacing w:line="360" w:lineRule="auto"/>
        <w:rPr>
          <w:bCs/>
          <w:sz w:val="24"/>
        </w:rPr>
      </w:pPr>
      <w:r>
        <w:rPr>
          <w:rFonts w:hint="eastAsia"/>
          <w:bCs/>
          <w:sz w:val="24"/>
        </w:rPr>
        <w:t>资格性检查。评标委员会依据法律法规和招标文件的规定，对投标文件的证明文件、资格文件、等进行审查，以确定投标人是否具备投标资格。</w:t>
      </w:r>
    </w:p>
    <w:p>
      <w:pPr>
        <w:numPr>
          <w:ilvl w:val="2"/>
          <w:numId w:val="2"/>
        </w:numPr>
        <w:spacing w:line="360" w:lineRule="auto"/>
        <w:rPr>
          <w:bCs/>
          <w:sz w:val="24"/>
        </w:rPr>
      </w:pPr>
      <w:r>
        <w:rPr>
          <w:rFonts w:hint="eastAsia"/>
          <w:bCs/>
          <w:sz w:val="24"/>
        </w:rPr>
        <w:t>符合性检查。评标委员会依据招标文件的规定，从投标文件的有效性、完整性和对招标文件的响应程度进行审查，以确定是否对招标文件的实质性要求作出完全响应。</w:t>
      </w:r>
    </w:p>
    <w:p>
      <w:pPr>
        <w:numPr>
          <w:ilvl w:val="2"/>
          <w:numId w:val="2"/>
        </w:numPr>
        <w:spacing w:line="360" w:lineRule="auto"/>
        <w:rPr>
          <w:bCs/>
          <w:sz w:val="24"/>
        </w:rPr>
      </w:pPr>
      <w:r>
        <w:rPr>
          <w:rFonts w:hint="eastAsia"/>
          <w:bCs/>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numPr>
          <w:ilvl w:val="2"/>
          <w:numId w:val="2"/>
        </w:numPr>
        <w:spacing w:line="360" w:lineRule="auto"/>
        <w:rPr>
          <w:bCs/>
          <w:sz w:val="24"/>
        </w:rPr>
      </w:pPr>
      <w:r>
        <w:rPr>
          <w:rFonts w:hint="eastAsia"/>
          <w:bCs/>
          <w:sz w:val="24"/>
        </w:rPr>
        <w:t>比较和评价。评标委员会按招标文件中规定的方法和标准，对资格性检查和符合性检查合格的投标文件进行商务和技术评估，综合比较与评价。</w:t>
      </w:r>
    </w:p>
    <w:p>
      <w:pPr>
        <w:numPr>
          <w:ilvl w:val="2"/>
          <w:numId w:val="2"/>
        </w:numPr>
        <w:spacing w:line="360" w:lineRule="auto"/>
        <w:rPr>
          <w:bCs/>
          <w:sz w:val="24"/>
        </w:rPr>
      </w:pPr>
      <w:r>
        <w:rPr>
          <w:rFonts w:hint="eastAsia"/>
          <w:bCs/>
          <w:sz w:val="24"/>
        </w:rPr>
        <w:t>投标文件属下列情况之一的，评标委员会将在资格性、符合性检查时作为无效投标处理：</w:t>
      </w:r>
    </w:p>
    <w:p>
      <w:pPr>
        <w:numPr>
          <w:ilvl w:val="3"/>
          <w:numId w:val="2"/>
        </w:numPr>
        <w:spacing w:line="360" w:lineRule="auto"/>
        <w:rPr>
          <w:bCs/>
          <w:sz w:val="24"/>
        </w:rPr>
      </w:pPr>
      <w:r>
        <w:rPr>
          <w:rFonts w:hint="eastAsia"/>
          <w:bCs/>
          <w:sz w:val="24"/>
        </w:rPr>
        <w:t>投标文件无投标人法人授权代表签字和加盖公章的；</w:t>
      </w:r>
    </w:p>
    <w:p>
      <w:pPr>
        <w:numPr>
          <w:ilvl w:val="3"/>
          <w:numId w:val="2"/>
        </w:numPr>
        <w:spacing w:line="360" w:lineRule="auto"/>
        <w:rPr>
          <w:bCs/>
          <w:sz w:val="24"/>
        </w:rPr>
      </w:pPr>
      <w:r>
        <w:rPr>
          <w:rFonts w:hint="eastAsia"/>
          <w:bCs/>
          <w:sz w:val="24"/>
        </w:rPr>
        <w:t>未按招标文件的要求作有效签署的；</w:t>
      </w:r>
    </w:p>
    <w:p>
      <w:pPr>
        <w:numPr>
          <w:ilvl w:val="3"/>
          <w:numId w:val="2"/>
        </w:numPr>
        <w:spacing w:line="360" w:lineRule="auto"/>
        <w:rPr>
          <w:bCs/>
          <w:sz w:val="24"/>
        </w:rPr>
      </w:pPr>
      <w:r>
        <w:rPr>
          <w:rFonts w:hint="eastAsia"/>
          <w:bCs/>
          <w:sz w:val="24"/>
        </w:rPr>
        <w:t>不具备招标文件中规定资格要求的；</w:t>
      </w:r>
    </w:p>
    <w:p>
      <w:pPr>
        <w:numPr>
          <w:ilvl w:val="3"/>
          <w:numId w:val="2"/>
        </w:numPr>
        <w:spacing w:line="360" w:lineRule="auto"/>
        <w:rPr>
          <w:bCs/>
          <w:sz w:val="24"/>
        </w:rPr>
      </w:pPr>
      <w:r>
        <w:rPr>
          <w:rFonts w:hint="eastAsia"/>
          <w:bCs/>
          <w:sz w:val="24"/>
        </w:rPr>
        <w:t>不符合法律法规和招标文件中规定的其它实质性要求的。</w:t>
      </w:r>
    </w:p>
    <w:p>
      <w:pPr>
        <w:numPr>
          <w:ilvl w:val="1"/>
          <w:numId w:val="2"/>
        </w:numPr>
        <w:spacing w:line="360" w:lineRule="auto"/>
        <w:rPr>
          <w:bCs/>
          <w:sz w:val="24"/>
        </w:rPr>
      </w:pPr>
      <w:r>
        <w:rPr>
          <w:rFonts w:hint="eastAsia"/>
          <w:bCs/>
          <w:sz w:val="24"/>
        </w:rPr>
        <w:t>评标办法</w:t>
      </w:r>
    </w:p>
    <w:p>
      <w:pPr>
        <w:numPr>
          <w:ilvl w:val="2"/>
          <w:numId w:val="2"/>
        </w:numPr>
        <w:spacing w:line="360" w:lineRule="auto"/>
        <w:rPr>
          <w:bCs/>
          <w:sz w:val="24"/>
        </w:rPr>
      </w:pPr>
      <w:r>
        <w:rPr>
          <w:rFonts w:hint="eastAsia" w:ascii="宋体" w:hAnsi="宋体"/>
          <w:sz w:val="24"/>
        </w:rPr>
        <w:t>本次招标采用</w:t>
      </w:r>
      <w:r>
        <w:rPr>
          <w:rFonts w:hint="eastAsia" w:ascii="宋体" w:hAnsi="宋体"/>
          <w:b/>
          <w:sz w:val="24"/>
        </w:rPr>
        <w:t>综合评标法评标</w:t>
      </w:r>
      <w:r>
        <w:rPr>
          <w:rFonts w:hint="eastAsia" w:ascii="宋体" w:hAnsi="宋体"/>
          <w:sz w:val="24"/>
        </w:rPr>
        <w:t>。</w:t>
      </w:r>
      <w:r>
        <w:rPr>
          <w:rFonts w:hint="eastAsia"/>
          <w:bCs/>
          <w:sz w:val="24"/>
        </w:rPr>
        <w:t>首先，由评标委员会根据招标文件要求，审核各投标文件是否合格、有效，凡不符合要求和未能实质性响应招标文件要求的投标文件均不进入评议程序。</w:t>
      </w:r>
    </w:p>
    <w:p>
      <w:pPr>
        <w:numPr>
          <w:ilvl w:val="2"/>
          <w:numId w:val="2"/>
        </w:numPr>
        <w:spacing w:line="360" w:lineRule="auto"/>
        <w:rPr>
          <w:bCs/>
          <w:sz w:val="24"/>
        </w:rPr>
      </w:pPr>
      <w:r>
        <w:rPr>
          <w:rFonts w:hint="eastAsia"/>
          <w:bCs/>
          <w:sz w:val="24"/>
        </w:rPr>
        <w:t>通过以上审核的投标文件，依照以下标准进行评议：</w:t>
      </w:r>
    </w:p>
    <w:p>
      <w:pPr>
        <w:numPr>
          <w:ilvl w:val="3"/>
          <w:numId w:val="2"/>
        </w:numPr>
        <w:spacing w:line="360" w:lineRule="auto"/>
        <w:rPr>
          <w:bCs/>
          <w:sz w:val="24"/>
        </w:rPr>
      </w:pPr>
      <w:r>
        <w:rPr>
          <w:rFonts w:hint="eastAsia"/>
          <w:bCs/>
          <w:sz w:val="24"/>
        </w:rPr>
        <w:t>投标价格、方案的系统性、可靠性、合理性、安全性。</w:t>
      </w:r>
    </w:p>
    <w:p>
      <w:pPr>
        <w:numPr>
          <w:ilvl w:val="3"/>
          <w:numId w:val="2"/>
        </w:numPr>
        <w:spacing w:line="360" w:lineRule="auto"/>
        <w:rPr>
          <w:bCs/>
          <w:sz w:val="24"/>
        </w:rPr>
      </w:pPr>
      <w:r>
        <w:rPr>
          <w:rFonts w:hint="eastAsia"/>
          <w:bCs/>
          <w:sz w:val="24"/>
        </w:rPr>
        <w:t>投标产品品牌、质量和技术性能。</w:t>
      </w:r>
      <w:r>
        <w:rPr>
          <w:rFonts w:hint="eastAsia"/>
          <w:sz w:val="24"/>
        </w:rPr>
        <w:t>主要评审因素有：方案中所提出投标产品的技术规格和指标，投标产品的市场评价，投标产品和备品备件的标准化、系列化以及产品授权。</w:t>
      </w:r>
    </w:p>
    <w:p>
      <w:pPr>
        <w:numPr>
          <w:ilvl w:val="3"/>
          <w:numId w:val="2"/>
        </w:numPr>
        <w:spacing w:line="360" w:lineRule="auto"/>
        <w:rPr>
          <w:bCs/>
          <w:sz w:val="24"/>
        </w:rPr>
      </w:pPr>
      <w:r>
        <w:rPr>
          <w:rFonts w:hint="eastAsia"/>
          <w:bCs/>
          <w:sz w:val="24"/>
        </w:rPr>
        <w:t>投标企业实力。</w:t>
      </w:r>
      <w:r>
        <w:rPr>
          <w:rFonts w:hint="eastAsia"/>
          <w:sz w:val="24"/>
        </w:rPr>
        <w:t>主要评审因素有：企业注册资金、企业规模、品牌代理实力、经营能力、企业管理水平、供货及安装调试时间。</w:t>
      </w:r>
    </w:p>
    <w:p>
      <w:pPr>
        <w:numPr>
          <w:ilvl w:val="3"/>
          <w:numId w:val="2"/>
        </w:numPr>
        <w:spacing w:line="360" w:lineRule="auto"/>
        <w:rPr>
          <w:bCs/>
          <w:sz w:val="24"/>
        </w:rPr>
      </w:pPr>
      <w:r>
        <w:rPr>
          <w:rFonts w:hint="eastAsia"/>
          <w:bCs/>
          <w:sz w:val="24"/>
        </w:rPr>
        <w:t>售后服务。</w:t>
      </w:r>
      <w:r>
        <w:rPr>
          <w:rFonts w:hint="eastAsia"/>
          <w:sz w:val="24"/>
        </w:rPr>
        <w:t>主要评审因素有：投标文件是否满足招标文件的售后服务响应要求、售后服务保证体系、专业的售后服务队伍、本地化技术服务。</w:t>
      </w:r>
    </w:p>
    <w:p>
      <w:pPr>
        <w:numPr>
          <w:ilvl w:val="3"/>
          <w:numId w:val="2"/>
        </w:numPr>
        <w:spacing w:line="360" w:lineRule="auto"/>
        <w:rPr>
          <w:bCs/>
          <w:sz w:val="24"/>
        </w:rPr>
      </w:pPr>
      <w:r>
        <w:rPr>
          <w:rFonts w:hint="eastAsia"/>
          <w:bCs/>
          <w:sz w:val="24"/>
        </w:rPr>
        <w:t>市场信誉。</w:t>
      </w:r>
      <w:r>
        <w:rPr>
          <w:rFonts w:hint="eastAsia"/>
          <w:sz w:val="24"/>
        </w:rPr>
        <w:t>主要评审因素有：投标企业的供货能力、安装调试能力、服务响应能力及市场信誉。</w:t>
      </w:r>
      <w:r>
        <w:rPr>
          <w:sz w:val="24"/>
        </w:rPr>
        <w:t xml:space="preserve"> </w:t>
      </w:r>
    </w:p>
    <w:p>
      <w:pPr>
        <w:numPr>
          <w:ilvl w:val="1"/>
          <w:numId w:val="2"/>
        </w:numPr>
        <w:spacing w:line="360" w:lineRule="auto"/>
        <w:rPr>
          <w:bCs/>
          <w:sz w:val="24"/>
        </w:rPr>
      </w:pPr>
      <w:r>
        <w:rPr>
          <w:rFonts w:hint="eastAsia"/>
          <w:bCs/>
          <w:sz w:val="24"/>
        </w:rPr>
        <w:t>评标说明</w:t>
      </w:r>
    </w:p>
    <w:p>
      <w:pPr>
        <w:numPr>
          <w:ilvl w:val="2"/>
          <w:numId w:val="2"/>
        </w:numPr>
        <w:spacing w:line="360" w:lineRule="auto"/>
        <w:rPr>
          <w:bCs/>
          <w:sz w:val="24"/>
        </w:rPr>
      </w:pPr>
      <w:r>
        <w:rPr>
          <w:rFonts w:hint="eastAsia"/>
          <w:bCs/>
          <w:sz w:val="24"/>
        </w:rPr>
        <w:t>对所有投标人的投标文件评审，都采用相同的程序和标准。</w:t>
      </w:r>
    </w:p>
    <w:p>
      <w:pPr>
        <w:numPr>
          <w:ilvl w:val="2"/>
          <w:numId w:val="2"/>
        </w:numPr>
        <w:spacing w:line="360" w:lineRule="auto"/>
        <w:rPr>
          <w:bCs/>
          <w:sz w:val="24"/>
        </w:rPr>
      </w:pPr>
      <w:r>
        <w:rPr>
          <w:rFonts w:hint="eastAsia"/>
          <w:bCs/>
          <w:sz w:val="24"/>
        </w:rPr>
        <w:t>评标严格按招标文件的要求和条件进行。</w:t>
      </w:r>
    </w:p>
    <w:p>
      <w:pPr>
        <w:numPr>
          <w:ilvl w:val="2"/>
          <w:numId w:val="2"/>
        </w:numPr>
        <w:spacing w:line="360" w:lineRule="auto"/>
        <w:rPr>
          <w:bCs/>
          <w:sz w:val="24"/>
        </w:rPr>
      </w:pPr>
      <w:r>
        <w:rPr>
          <w:rFonts w:hint="eastAsia"/>
          <w:bCs/>
          <w:sz w:val="24"/>
        </w:rPr>
        <w:t>有关投标文件的审查、澄清、评估和比较以及会影响评标工作的一切情况都不得透露给任一投标人或与上述评标工作无关的人员。</w:t>
      </w:r>
    </w:p>
    <w:p>
      <w:pPr>
        <w:numPr>
          <w:ilvl w:val="2"/>
          <w:numId w:val="2"/>
        </w:numPr>
        <w:spacing w:line="360" w:lineRule="auto"/>
        <w:rPr>
          <w:bCs/>
          <w:sz w:val="24"/>
        </w:rPr>
      </w:pPr>
      <w:r>
        <w:rPr>
          <w:rFonts w:hint="eastAsia"/>
          <w:bCs/>
          <w:sz w:val="24"/>
        </w:rPr>
        <w:t>投标人不得干扰招标人组织评标活动，否则将废除其投标。</w:t>
      </w:r>
    </w:p>
    <w:p>
      <w:pPr>
        <w:numPr>
          <w:ilvl w:val="2"/>
          <w:numId w:val="2"/>
        </w:numPr>
        <w:spacing w:line="360" w:lineRule="auto"/>
        <w:rPr>
          <w:bCs/>
          <w:sz w:val="24"/>
        </w:rPr>
      </w:pPr>
      <w:r>
        <w:rPr>
          <w:rFonts w:hint="eastAsia" w:ascii="宋体"/>
          <w:spacing w:val="4"/>
          <w:sz w:val="24"/>
        </w:rPr>
        <w:t>招标人依照</w:t>
      </w:r>
      <w:r>
        <w:rPr>
          <w:rFonts w:hint="eastAsia" w:ascii="宋体" w:hAnsi="宋体"/>
          <w:sz w:val="24"/>
        </w:rPr>
        <w:t>评标委员会</w:t>
      </w:r>
      <w:r>
        <w:rPr>
          <w:rFonts w:hint="eastAsia" w:ascii="宋体"/>
          <w:spacing w:val="4"/>
          <w:sz w:val="24"/>
        </w:rPr>
        <w:t>推荐的中标候选人从中择优确定中标人。定标的程序和办法依照《中华人民共和国招投标法》、《福建省招投标条例》。当有效标不足三个时，招标人可作流标处理，重新招标和议标。</w:t>
      </w:r>
    </w:p>
    <w:p>
      <w:pPr>
        <w:numPr>
          <w:ilvl w:val="2"/>
          <w:numId w:val="2"/>
        </w:numPr>
        <w:spacing w:line="360" w:lineRule="auto"/>
        <w:rPr>
          <w:bCs/>
          <w:sz w:val="24"/>
        </w:rPr>
      </w:pPr>
      <w:r>
        <w:rPr>
          <w:rFonts w:hint="eastAsia"/>
          <w:bCs/>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pPr>
        <w:pStyle w:val="3"/>
        <w:numPr>
          <w:ilvl w:val="0"/>
          <w:numId w:val="4"/>
        </w:numPr>
        <w:jc w:val="center"/>
      </w:pPr>
      <w:bookmarkStart w:id="16" w:name="_Toc153463835"/>
      <w:bookmarkStart w:id="17" w:name="_Toc28097_WPSOffice_Level2"/>
      <w:r>
        <w:rPr>
          <w:rFonts w:hint="eastAsia"/>
        </w:rPr>
        <w:t>定标</w:t>
      </w:r>
      <w:bookmarkEnd w:id="16"/>
      <w:bookmarkEnd w:id="17"/>
    </w:p>
    <w:p>
      <w:pPr>
        <w:numPr>
          <w:ilvl w:val="0"/>
          <w:numId w:val="2"/>
        </w:numPr>
        <w:spacing w:line="360" w:lineRule="auto"/>
        <w:rPr>
          <w:rFonts w:ascii="宋体"/>
          <w:bCs/>
          <w:sz w:val="24"/>
        </w:rPr>
      </w:pPr>
      <w:r>
        <w:rPr>
          <w:rFonts w:hint="eastAsia" w:ascii="宋体"/>
          <w:bCs/>
          <w:sz w:val="24"/>
        </w:rPr>
        <w:t>招标人不能保证最低报价的投标可以中标。</w:t>
      </w:r>
    </w:p>
    <w:p>
      <w:pPr>
        <w:numPr>
          <w:ilvl w:val="0"/>
          <w:numId w:val="2"/>
        </w:numPr>
        <w:spacing w:line="360" w:lineRule="auto"/>
        <w:rPr>
          <w:rFonts w:ascii="宋体"/>
          <w:bCs/>
          <w:sz w:val="24"/>
        </w:rPr>
      </w:pPr>
      <w:r>
        <w:rPr>
          <w:rFonts w:hint="eastAsia" w:ascii="宋体"/>
          <w:bCs/>
          <w:sz w:val="24"/>
        </w:rPr>
        <w:t>定标后的2个工作日内，招标人以书面形式向中标供应商发出《中标通知书》，中标方按中标通知中规定的时间与用户签订合同以及技术和服务协议。以电话通知的形式向落标供应商发出落标通知。</w:t>
      </w:r>
    </w:p>
    <w:p>
      <w:pPr>
        <w:numPr>
          <w:ilvl w:val="0"/>
          <w:numId w:val="2"/>
        </w:numPr>
        <w:spacing w:line="360" w:lineRule="auto"/>
        <w:rPr>
          <w:rFonts w:ascii="宋体"/>
          <w:bCs/>
          <w:sz w:val="24"/>
        </w:rPr>
      </w:pPr>
      <w:r>
        <w:rPr>
          <w:rFonts w:hint="eastAsia" w:ascii="宋体"/>
          <w:bCs/>
          <w:sz w:val="24"/>
        </w:rPr>
        <w:t>投标保证金退还：</w:t>
      </w:r>
    </w:p>
    <w:p>
      <w:pPr>
        <w:pStyle w:val="5"/>
        <w:spacing w:line="360" w:lineRule="auto"/>
        <w:rPr>
          <w:sz w:val="24"/>
          <w:szCs w:val="24"/>
        </w:rPr>
      </w:pPr>
      <w:r>
        <w:rPr>
          <w:rFonts w:hint="eastAsia" w:ascii="Times New Roman"/>
          <w:sz w:val="24"/>
          <w:szCs w:val="24"/>
        </w:rPr>
        <w:t>落标单位的投标保证金在评标结果公布后的</w:t>
      </w:r>
      <w:r>
        <w:rPr>
          <w:rFonts w:ascii="Times New Roman"/>
          <w:sz w:val="24"/>
          <w:szCs w:val="24"/>
        </w:rPr>
        <w:t>30</w:t>
      </w:r>
      <w:r>
        <w:rPr>
          <w:rFonts w:hint="eastAsia" w:ascii="Times New Roman"/>
          <w:sz w:val="24"/>
          <w:szCs w:val="24"/>
        </w:rPr>
        <w:t>个工作日内退还；中标单位的投标保证金自动转为履约保证金，在货物验收合格之日起</w:t>
      </w:r>
      <w:r>
        <w:rPr>
          <w:rFonts w:ascii="Times New Roman"/>
          <w:sz w:val="24"/>
          <w:szCs w:val="24"/>
        </w:rPr>
        <w:t>30</w:t>
      </w:r>
      <w:r>
        <w:rPr>
          <w:rFonts w:hint="eastAsia" w:ascii="Times New Roman"/>
          <w:sz w:val="24"/>
          <w:szCs w:val="24"/>
        </w:rPr>
        <w:t>个工作日内退还。如果中标单位不与招标方签约，或签约后无法履约，该投标保证金不予退还，招标方保留向中标单位依法追索相关损失的权利。</w:t>
      </w:r>
    </w:p>
    <w:p>
      <w:pPr>
        <w:widowControl/>
        <w:spacing w:line="576" w:lineRule="auto"/>
        <w:jc w:val="left"/>
        <w:rPr>
          <w:b/>
          <w:bCs/>
          <w:kern w:val="44"/>
          <w:sz w:val="44"/>
          <w:szCs w:val="44"/>
        </w:rPr>
        <w:sectPr>
          <w:pgSz w:w="11906" w:h="16838"/>
          <w:pgMar w:top="964" w:right="1191" w:bottom="964" w:left="1191" w:header="851" w:footer="992" w:gutter="0"/>
          <w:cols w:space="720" w:num="1"/>
          <w:docGrid w:type="lines" w:linePitch="312" w:charSpace="0"/>
        </w:sectPr>
      </w:pPr>
    </w:p>
    <w:p>
      <w:pPr>
        <w:pStyle w:val="2"/>
        <w:numPr>
          <w:ilvl w:val="0"/>
          <w:numId w:val="1"/>
        </w:numPr>
        <w:jc w:val="center"/>
      </w:pPr>
      <w:bookmarkStart w:id="18" w:name="_Toc153463836"/>
      <w:bookmarkStart w:id="19" w:name="_Toc30872_WPSOffice_Level1"/>
      <w:r>
        <w:rPr>
          <w:rFonts w:hint="eastAsia"/>
        </w:rPr>
        <w:t>投标文件格式</w:t>
      </w:r>
      <w:bookmarkEnd w:id="18"/>
      <w:bookmarkEnd w:id="19"/>
    </w:p>
    <w:p>
      <w:pPr>
        <w:pStyle w:val="5"/>
        <w:numPr>
          <w:ilvl w:val="1"/>
          <w:numId w:val="4"/>
        </w:numPr>
        <w:spacing w:line="360" w:lineRule="auto"/>
        <w:rPr>
          <w:b/>
          <w:sz w:val="24"/>
          <w:szCs w:val="24"/>
        </w:rPr>
      </w:pPr>
      <w:bookmarkStart w:id="20" w:name="_Toc29740_WPSOffice_Level1"/>
      <w:r>
        <w:rPr>
          <w:rFonts w:hint="eastAsia"/>
          <w:b/>
          <w:sz w:val="24"/>
          <w:szCs w:val="24"/>
        </w:rPr>
        <w:t>报名函</w:t>
      </w:r>
      <w:bookmarkEnd w:id="20"/>
    </w:p>
    <w:p>
      <w:pPr>
        <w:adjustRightInd w:val="0"/>
        <w:snapToGrid w:val="0"/>
        <w:spacing w:line="360" w:lineRule="auto"/>
        <w:jc w:val="left"/>
        <w:rPr>
          <w:rFonts w:ascii="宋体" w:hAnsi="宋体" w:cs="宋体"/>
          <w:bCs/>
          <w:sz w:val="24"/>
          <w:lang w:val="zh-CN"/>
        </w:rPr>
      </w:pPr>
      <w:r>
        <w:rPr>
          <w:rFonts w:hint="eastAsia" w:ascii="宋体" w:hAnsi="宋体" w:cs="宋体"/>
          <w:bCs/>
          <w:sz w:val="24"/>
          <w:lang w:val="zh-CN"/>
        </w:rPr>
        <w:t xml:space="preserve">致：厦门大学嘉庚学院 </w:t>
      </w:r>
    </w:p>
    <w:p>
      <w:pPr>
        <w:adjustRightInd w:val="0"/>
        <w:snapToGrid w:val="0"/>
        <w:spacing w:line="360" w:lineRule="auto"/>
        <w:jc w:val="left"/>
        <w:rPr>
          <w:rFonts w:ascii="宋体" w:hAnsi="宋体" w:cs="宋体"/>
          <w:bCs/>
          <w:sz w:val="24"/>
          <w:lang w:val="zh-CN"/>
        </w:rPr>
      </w:pPr>
    </w:p>
    <w:p>
      <w:pPr>
        <w:adjustRightInd w:val="0"/>
        <w:snapToGrid w:val="0"/>
        <w:spacing w:line="360" w:lineRule="auto"/>
        <w:ind w:firstLine="480" w:firstLineChars="200"/>
        <w:jc w:val="left"/>
        <w:rPr>
          <w:rFonts w:ascii="宋体"/>
          <w:bCs/>
          <w:sz w:val="24"/>
        </w:rPr>
      </w:pPr>
      <w:r>
        <w:rPr>
          <w:rFonts w:hint="eastAsia" w:ascii="宋体" w:hAnsi="宋体"/>
          <w:bCs/>
          <w:sz w:val="24"/>
        </w:rPr>
        <w:t>我公司报名参加</w:t>
      </w:r>
      <w:r>
        <w:rPr>
          <w:rFonts w:hint="eastAsia" w:ascii="黑体" w:hAnsi="宋体" w:eastAsia="黑体" w:cs="宋体"/>
          <w:bCs/>
          <w:i/>
          <w:sz w:val="24"/>
          <w:u w:val="single"/>
          <w:lang w:val="zh-CN"/>
        </w:rPr>
        <w:t xml:space="preserve">  （招标编号）（设备/工程名称）  </w:t>
      </w:r>
      <w:r>
        <w:rPr>
          <w:rFonts w:hint="eastAsia" w:ascii="宋体" w:hAnsi="宋体"/>
          <w:bCs/>
          <w:sz w:val="24"/>
        </w:rPr>
        <w:t>的投标，承诺严格遵守贵方相关的招投标规定，并按照招标文件的要求，准时报送投标文件。现根据招标公告的要求，提供报名材料，望批准。</w:t>
      </w: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bookmarkStart w:id="21" w:name="_Toc1367_WPSOffice_Level2"/>
      <w:r>
        <w:rPr>
          <w:rFonts w:hint="eastAsia" w:ascii="宋体" w:hAnsi="宋体" w:cs="宋体"/>
          <w:bCs/>
          <w:sz w:val="24"/>
        </w:rPr>
        <w:t xml:space="preserve">   </w:t>
      </w:r>
      <w:r>
        <w:rPr>
          <w:rFonts w:hint="eastAsia" w:ascii="宋体" w:hAnsi="宋体" w:cs="宋体"/>
          <w:bCs/>
          <w:sz w:val="24"/>
          <w:lang w:val="zh-CN"/>
        </w:rPr>
        <w:t>公司名称：</w:t>
      </w:r>
      <w:r>
        <w:rPr>
          <w:rFonts w:hint="eastAsia" w:ascii="宋体" w:hAnsi="宋体" w:cs="宋体"/>
          <w:bCs/>
          <w:sz w:val="24"/>
          <w:u w:val="single"/>
          <w:lang w:val="zh-CN"/>
        </w:rPr>
        <w:t xml:space="preserve">                         （盖章）</w:t>
      </w:r>
      <w:bookmarkEnd w:id="21"/>
    </w:p>
    <w:p>
      <w:pPr>
        <w:adjustRightInd w:val="0"/>
        <w:snapToGrid w:val="0"/>
        <w:spacing w:line="360" w:lineRule="auto"/>
        <w:jc w:val="center"/>
        <w:rPr>
          <w:rFonts w:ascii="宋体" w:hAnsi="宋体" w:cs="宋体"/>
          <w:bCs/>
          <w:sz w:val="24"/>
          <w:u w:val="single"/>
          <w:lang w:val="zh-CN"/>
        </w:rPr>
      </w:pPr>
      <w:r>
        <w:rPr>
          <w:rFonts w:hint="eastAsia" w:ascii="宋体" w:hAnsi="宋体" w:cs="宋体"/>
          <w:bCs/>
          <w:sz w:val="24"/>
          <w:lang w:val="zh-CN"/>
        </w:rPr>
        <w:t xml:space="preserve">                                        </w:t>
      </w:r>
      <w:bookmarkStart w:id="22" w:name="_Toc32146_WPSOffice_Level2"/>
      <w:r>
        <w:rPr>
          <w:rFonts w:hint="eastAsia" w:ascii="宋体" w:hAnsi="宋体" w:cs="宋体"/>
          <w:bCs/>
          <w:sz w:val="24"/>
          <w:lang w:val="zh-CN"/>
        </w:rPr>
        <w:t>法定代表人：</w:t>
      </w:r>
      <w:r>
        <w:rPr>
          <w:rFonts w:hint="eastAsia" w:ascii="宋体" w:hAnsi="宋体" w:cs="宋体"/>
          <w:bCs/>
          <w:sz w:val="24"/>
          <w:u w:val="single"/>
          <w:lang w:val="zh-CN"/>
        </w:rPr>
        <w:t xml:space="preserve">     </w:t>
      </w:r>
      <w:r>
        <w:rPr>
          <w:rFonts w:hint="eastAsia" w:ascii="宋体" w:hAnsi="宋体" w:cs="宋体"/>
          <w:bCs/>
          <w:sz w:val="24"/>
          <w:u w:val="single"/>
        </w:rPr>
        <w:t xml:space="preserve">    </w:t>
      </w:r>
      <w:r>
        <w:rPr>
          <w:rFonts w:hint="eastAsia" w:ascii="宋体" w:hAnsi="宋体" w:cs="宋体"/>
          <w:bCs/>
          <w:sz w:val="24"/>
          <w:u w:val="single"/>
          <w:lang w:val="zh-CN"/>
        </w:rPr>
        <w:t>（签字</w:t>
      </w:r>
      <w:bookmarkEnd w:id="22"/>
      <w:r>
        <w:rPr>
          <w:rFonts w:hint="eastAsia" w:ascii="宋体" w:hAnsi="宋体" w:cs="宋体"/>
          <w:bCs/>
          <w:sz w:val="24"/>
          <w:u w:val="single"/>
          <w:lang w:val="zh-CN"/>
        </w:rPr>
        <w:t>）</w:t>
      </w:r>
    </w:p>
    <w:p>
      <w:pPr>
        <w:adjustRightInd w:val="0"/>
        <w:snapToGrid w:val="0"/>
        <w:spacing w:line="360" w:lineRule="auto"/>
        <w:jc w:val="center"/>
        <w:rPr>
          <w:rFonts w:ascii="宋体" w:hAnsi="宋体" w:cs="宋体"/>
          <w:bCs/>
          <w:sz w:val="24"/>
          <w:u w:val="single"/>
        </w:rPr>
      </w:pPr>
      <w:r>
        <w:rPr>
          <w:rFonts w:hint="eastAsia" w:ascii="宋体" w:hAnsi="宋体" w:cs="宋体"/>
          <w:bCs/>
          <w:sz w:val="24"/>
        </w:rPr>
        <w:t xml:space="preserve">                        </w:t>
      </w:r>
      <w:r>
        <w:rPr>
          <w:rFonts w:hint="eastAsia" w:ascii="宋体" w:hAnsi="宋体" w:cs="宋体"/>
          <w:bCs/>
          <w:sz w:val="24"/>
          <w:lang w:val="zh-CN"/>
        </w:rPr>
        <w:t>项目联系人：</w:t>
      </w:r>
      <w:r>
        <w:rPr>
          <w:rFonts w:hint="eastAsia" w:ascii="宋体" w:hAnsi="宋体" w:cs="宋体"/>
          <w:bCs/>
          <w:sz w:val="24"/>
          <w:u w:val="single"/>
        </w:rPr>
        <w:t xml:space="preserve">                </w:t>
      </w: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r>
        <w:rPr>
          <w:rFonts w:hint="eastAsia" w:ascii="宋体" w:hAnsi="宋体" w:cs="宋体"/>
          <w:bCs/>
          <w:sz w:val="24"/>
        </w:rPr>
        <w:t xml:space="preserve">                    </w:t>
      </w:r>
      <w:r>
        <w:rPr>
          <w:rFonts w:hint="eastAsia" w:ascii="宋体" w:hAnsi="宋体" w:cs="宋体"/>
          <w:bCs/>
          <w:sz w:val="24"/>
          <w:lang w:val="zh-CN"/>
        </w:rPr>
        <w:t xml:space="preserve"> </w:t>
      </w:r>
      <w:bookmarkStart w:id="23" w:name="_Toc11104_WPSOffice_Level2"/>
      <w:r>
        <w:rPr>
          <w:rFonts w:hint="eastAsia" w:ascii="宋体" w:hAnsi="宋体" w:cs="宋体"/>
          <w:bCs/>
          <w:sz w:val="24"/>
          <w:lang w:val="zh-CN"/>
        </w:rPr>
        <w:t>联系方式：</w:t>
      </w:r>
      <w:bookmarkEnd w:id="23"/>
      <w:r>
        <w:rPr>
          <w:rFonts w:hint="eastAsia" w:ascii="宋体" w:hAnsi="宋体" w:cs="宋体"/>
          <w:bCs/>
          <w:sz w:val="24"/>
          <w:u w:val="single"/>
          <w:lang w:val="zh-CN"/>
        </w:rPr>
        <w:t xml:space="preserve">                    </w:t>
      </w:r>
    </w:p>
    <w:p>
      <w:pPr>
        <w:wordWrap w:val="0"/>
        <w:adjustRightInd w:val="0"/>
        <w:snapToGrid w:val="0"/>
        <w:spacing w:line="360" w:lineRule="auto"/>
        <w:ind w:right="240" w:firstLine="480" w:firstLineChars="200"/>
        <w:jc w:val="right"/>
        <w:rPr>
          <w:rFonts w:ascii="宋体" w:cs="宋体"/>
          <w:bCs/>
          <w:sz w:val="24"/>
          <w:lang w:val="zh-CN"/>
        </w:rPr>
      </w:pPr>
      <w:r>
        <w:rPr>
          <w:rFonts w:hint="eastAsia" w:ascii="宋体" w:hAnsi="宋体" w:cs="宋体"/>
          <w:bCs/>
          <w:sz w:val="24"/>
          <w:lang w:val="zh-CN"/>
        </w:rPr>
        <w:t>日期：</w:t>
      </w:r>
      <w:r>
        <w:rPr>
          <w:rFonts w:hint="eastAsia" w:ascii="宋体" w:hAnsi="宋体" w:cs="宋体"/>
          <w:bCs/>
          <w:sz w:val="24"/>
          <w:u w:val="single"/>
          <w:lang w:val="zh-CN"/>
        </w:rPr>
        <w:t xml:space="preserve">     </w:t>
      </w:r>
      <w:r>
        <w:rPr>
          <w:rFonts w:hint="eastAsia" w:ascii="宋体" w:hAnsi="宋体" w:cs="宋体"/>
          <w:bCs/>
          <w:sz w:val="24"/>
          <w:lang w:val="zh-CN"/>
        </w:rPr>
        <w:t>年</w:t>
      </w:r>
      <w:r>
        <w:rPr>
          <w:rFonts w:hint="eastAsia" w:ascii="宋体" w:hAnsi="宋体" w:cs="宋体"/>
          <w:bCs/>
          <w:sz w:val="24"/>
          <w:u w:val="single"/>
          <w:lang w:val="zh-CN"/>
        </w:rPr>
        <w:t xml:space="preserve">    </w:t>
      </w:r>
      <w:r>
        <w:rPr>
          <w:rFonts w:hint="eastAsia" w:ascii="宋体" w:hAnsi="宋体" w:cs="宋体"/>
          <w:bCs/>
          <w:sz w:val="24"/>
          <w:lang w:val="zh-CN"/>
        </w:rPr>
        <w:t>月</w:t>
      </w:r>
      <w:r>
        <w:rPr>
          <w:rFonts w:hint="eastAsia" w:ascii="宋体" w:hAnsi="宋体" w:cs="宋体"/>
          <w:bCs/>
          <w:sz w:val="24"/>
          <w:u w:val="single"/>
          <w:lang w:val="zh-CN"/>
        </w:rPr>
        <w:t xml:space="preserve">    </w:t>
      </w:r>
      <w:r>
        <w:rPr>
          <w:rFonts w:hint="eastAsia" w:ascii="宋体" w:hAnsi="宋体" w:cs="宋体"/>
          <w:bCs/>
          <w:sz w:val="24"/>
          <w:lang w:val="zh-CN"/>
        </w:rPr>
        <w:t>日</w:t>
      </w: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pStyle w:val="5"/>
        <w:spacing w:line="360" w:lineRule="auto"/>
        <w:ind w:firstLine="0"/>
        <w:rPr>
          <w:sz w:val="24"/>
        </w:rPr>
      </w:pPr>
      <w:r>
        <w:rPr>
          <w:rFonts w:hint="eastAsia" w:cs="宋体"/>
          <w:bCs/>
          <w:sz w:val="24"/>
          <w:szCs w:val="24"/>
          <w:lang w:val="zh-CN"/>
        </w:rPr>
        <w:t>注：报名材料</w:t>
      </w:r>
      <w:r>
        <w:rPr>
          <w:rFonts w:hint="eastAsia"/>
          <w:sz w:val="24"/>
        </w:rPr>
        <w:t>包括投标报名函（加盖公章）、企业法人营业执照复印件（加盖公章）、组织机构代码证复印件（加盖公章）、招标文件要求的相关资质复印件（加盖公章）</w:t>
      </w: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numPr>
          <w:ilvl w:val="1"/>
          <w:numId w:val="4"/>
        </w:numPr>
        <w:spacing w:line="360" w:lineRule="auto"/>
        <w:rPr>
          <w:b/>
          <w:sz w:val="24"/>
          <w:szCs w:val="24"/>
        </w:rPr>
      </w:pPr>
      <w:bookmarkStart w:id="24" w:name="_Toc20838_WPSOffice_Level1"/>
      <w:r>
        <w:rPr>
          <w:rFonts w:hint="eastAsia"/>
          <w:b/>
          <w:sz w:val="24"/>
          <w:szCs w:val="24"/>
        </w:rPr>
        <w:t>投标书</w:t>
      </w:r>
      <w:bookmarkEnd w:id="24"/>
    </w:p>
    <w:p>
      <w:pPr>
        <w:pStyle w:val="5"/>
        <w:spacing w:line="360" w:lineRule="auto"/>
        <w:ind w:firstLine="0"/>
        <w:rPr>
          <w:sz w:val="24"/>
          <w:szCs w:val="24"/>
          <w:u w:val="single"/>
        </w:rPr>
      </w:pPr>
      <w:r>
        <w:rPr>
          <w:rFonts w:hint="eastAsia"/>
          <w:sz w:val="24"/>
          <w:szCs w:val="24"/>
        </w:rPr>
        <w:t xml:space="preserve">致 </w:t>
      </w:r>
      <w:r>
        <w:rPr>
          <w:rFonts w:hint="eastAsia"/>
          <w:sz w:val="24"/>
          <w:szCs w:val="24"/>
          <w:u w:val="single"/>
        </w:rPr>
        <w:t xml:space="preserve"> 厦门大学嘉庚学院</w:t>
      </w:r>
      <w:r>
        <w:rPr>
          <w:rFonts w:hint="eastAsia"/>
          <w:sz w:val="24"/>
          <w:szCs w:val="24"/>
        </w:rPr>
        <w:t>：</w:t>
      </w:r>
    </w:p>
    <w:p>
      <w:pPr>
        <w:pStyle w:val="5"/>
        <w:spacing w:line="360" w:lineRule="auto"/>
        <w:ind w:firstLine="624" w:firstLineChars="260"/>
        <w:rPr>
          <w:sz w:val="24"/>
          <w:szCs w:val="24"/>
          <w:u w:val="single"/>
        </w:rPr>
      </w:pPr>
      <w:r>
        <w:rPr>
          <w:rFonts w:hint="eastAsia"/>
          <w:sz w:val="24"/>
          <w:szCs w:val="24"/>
        </w:rPr>
        <w:t>根据贵方为</w:t>
      </w:r>
      <w:r>
        <w:rPr>
          <w:rFonts w:hint="eastAsia"/>
          <w:sz w:val="24"/>
          <w:szCs w:val="24"/>
          <w:u w:val="single"/>
        </w:rPr>
        <w:t xml:space="preserve">         </w:t>
      </w:r>
      <w:r>
        <w:rPr>
          <w:rFonts w:hint="eastAsia"/>
          <w:sz w:val="24"/>
          <w:szCs w:val="24"/>
        </w:rPr>
        <w:t>（采购编号）招标项目及服务的投标邀请，投标代表</w:t>
      </w:r>
      <w:r>
        <w:rPr>
          <w:rFonts w:hint="eastAsia"/>
          <w:sz w:val="24"/>
          <w:szCs w:val="24"/>
          <w:u w:val="single"/>
        </w:rPr>
        <w:t xml:space="preserve">    </w:t>
      </w:r>
      <w:r>
        <w:rPr>
          <w:rFonts w:hint="eastAsia"/>
          <w:sz w:val="24"/>
          <w:szCs w:val="24"/>
        </w:rPr>
        <w:t>（全名、职务），经正式授权并代表投标人</w:t>
      </w:r>
      <w:r>
        <w:rPr>
          <w:rFonts w:hint="eastAsia"/>
          <w:sz w:val="24"/>
          <w:szCs w:val="24"/>
          <w:u w:val="single"/>
        </w:rPr>
        <w:t xml:space="preserve">        </w:t>
      </w:r>
      <w:r>
        <w:rPr>
          <w:rFonts w:hint="eastAsia"/>
          <w:sz w:val="24"/>
          <w:szCs w:val="24"/>
        </w:rPr>
        <w:t>（投标人名称）按招标书规定提交投标文件</w:t>
      </w:r>
      <w:r>
        <w:rPr>
          <w:rFonts w:hint="eastAsia"/>
          <w:b/>
          <w:sz w:val="24"/>
          <w:szCs w:val="24"/>
        </w:rPr>
        <w:t>正本壹份</w:t>
      </w:r>
      <w:r>
        <w:rPr>
          <w:rFonts w:hint="eastAsia"/>
          <w:sz w:val="24"/>
          <w:szCs w:val="24"/>
        </w:rPr>
        <w:t>和</w:t>
      </w:r>
      <w:r>
        <w:rPr>
          <w:rFonts w:hint="eastAsia"/>
          <w:b/>
          <w:sz w:val="24"/>
          <w:szCs w:val="24"/>
        </w:rPr>
        <w:t>副本肆份</w:t>
      </w:r>
      <w:r>
        <w:rPr>
          <w:rFonts w:hint="eastAsia"/>
          <w:sz w:val="24"/>
          <w:szCs w:val="24"/>
        </w:rPr>
        <w:t>。</w:t>
      </w:r>
    </w:p>
    <w:p>
      <w:pPr>
        <w:pStyle w:val="5"/>
        <w:spacing w:line="360" w:lineRule="auto"/>
        <w:rPr>
          <w:sz w:val="24"/>
          <w:szCs w:val="24"/>
        </w:rPr>
      </w:pPr>
      <w:bookmarkStart w:id="25" w:name="_Toc14389_WPSOffice_Level2"/>
      <w:r>
        <w:rPr>
          <w:rFonts w:hint="eastAsia"/>
          <w:sz w:val="24"/>
          <w:szCs w:val="24"/>
        </w:rPr>
        <w:t>1、投标书、开标一览表、系统配置清单及投标价格一览表</w:t>
      </w:r>
      <w:bookmarkEnd w:id="25"/>
    </w:p>
    <w:p>
      <w:pPr>
        <w:pStyle w:val="5"/>
        <w:spacing w:line="360" w:lineRule="auto"/>
        <w:rPr>
          <w:sz w:val="24"/>
          <w:szCs w:val="24"/>
        </w:rPr>
      </w:pPr>
      <w:bookmarkStart w:id="26" w:name="_Toc920_WPSOffice_Level2"/>
      <w:r>
        <w:rPr>
          <w:rFonts w:hint="eastAsia"/>
          <w:sz w:val="24"/>
          <w:szCs w:val="24"/>
        </w:rPr>
        <w:t>2、规格、技术参数偏离表</w:t>
      </w:r>
      <w:bookmarkEnd w:id="26"/>
    </w:p>
    <w:p>
      <w:pPr>
        <w:pStyle w:val="5"/>
        <w:spacing w:line="360" w:lineRule="auto"/>
        <w:ind w:firstLineChars="177"/>
        <w:rPr>
          <w:sz w:val="24"/>
          <w:szCs w:val="24"/>
        </w:rPr>
      </w:pPr>
      <w:bookmarkStart w:id="27" w:name="_Toc17069_WPSOffice_Level2"/>
      <w:r>
        <w:rPr>
          <w:rFonts w:hint="eastAsia"/>
          <w:sz w:val="24"/>
          <w:szCs w:val="24"/>
        </w:rPr>
        <w:t>3、资格证明文件</w:t>
      </w:r>
      <w:bookmarkEnd w:id="27"/>
    </w:p>
    <w:p>
      <w:pPr>
        <w:pStyle w:val="5"/>
        <w:spacing w:line="360" w:lineRule="auto"/>
        <w:ind w:firstLineChars="177"/>
        <w:rPr>
          <w:sz w:val="24"/>
          <w:szCs w:val="24"/>
        </w:rPr>
      </w:pPr>
      <w:bookmarkStart w:id="28" w:name="_Toc32675_WPSOffice_Level2"/>
      <w:r>
        <w:rPr>
          <w:rFonts w:hint="eastAsia"/>
          <w:sz w:val="24"/>
          <w:szCs w:val="24"/>
        </w:rPr>
        <w:t>4、按投标人须知要求提供的及投标文件应包括全部文件</w:t>
      </w:r>
      <w:bookmarkEnd w:id="28"/>
    </w:p>
    <w:p>
      <w:pPr>
        <w:pStyle w:val="5"/>
        <w:spacing w:line="360" w:lineRule="auto"/>
        <w:rPr>
          <w:sz w:val="24"/>
          <w:szCs w:val="24"/>
        </w:rPr>
      </w:pPr>
      <w:r>
        <w:rPr>
          <w:rFonts w:hint="eastAsia"/>
          <w:sz w:val="24"/>
          <w:szCs w:val="24"/>
        </w:rPr>
        <w:t>据此函，投标人同意遵守如下条款：</w:t>
      </w:r>
    </w:p>
    <w:p>
      <w:pPr>
        <w:pStyle w:val="5"/>
        <w:spacing w:line="360" w:lineRule="auto"/>
        <w:rPr>
          <w:sz w:val="24"/>
          <w:szCs w:val="24"/>
        </w:rPr>
      </w:pPr>
      <w:r>
        <w:rPr>
          <w:rFonts w:hint="eastAsia"/>
          <w:sz w:val="24"/>
          <w:szCs w:val="24"/>
        </w:rPr>
        <w:t>1、投标人将按招标文件规定履行合同责任和义务。</w:t>
      </w:r>
    </w:p>
    <w:p>
      <w:pPr>
        <w:pStyle w:val="5"/>
        <w:spacing w:line="360" w:lineRule="auto"/>
        <w:rPr>
          <w:sz w:val="24"/>
          <w:szCs w:val="24"/>
        </w:rPr>
      </w:pPr>
      <w:r>
        <w:rPr>
          <w:rFonts w:hint="eastAsia"/>
          <w:sz w:val="24"/>
          <w:szCs w:val="24"/>
        </w:rPr>
        <w:t>2、投标人已详细审查全部招标文件，包括修改文件（如有的话）以及全部参考资料和相关附件。我们完全理解并同意放弃对这方面有不明及误解的权利。</w:t>
      </w:r>
    </w:p>
    <w:p>
      <w:pPr>
        <w:pStyle w:val="5"/>
        <w:spacing w:line="360" w:lineRule="auto"/>
        <w:rPr>
          <w:sz w:val="24"/>
          <w:szCs w:val="24"/>
        </w:rPr>
      </w:pPr>
      <w:r>
        <w:rPr>
          <w:rFonts w:hint="eastAsia"/>
          <w:sz w:val="24"/>
          <w:szCs w:val="24"/>
        </w:rPr>
        <w:t>3、投标人同意提供按照招标人可能要求的与投标有关的一切数据或资料，完全理解招标人不一定要接受最低价的投标或收到的任何投标。</w:t>
      </w:r>
    </w:p>
    <w:p>
      <w:pPr>
        <w:pStyle w:val="5"/>
        <w:spacing w:line="360" w:lineRule="auto"/>
        <w:rPr>
          <w:sz w:val="24"/>
          <w:szCs w:val="24"/>
        </w:rPr>
      </w:pPr>
      <w:r>
        <w:rPr>
          <w:rFonts w:hint="eastAsia"/>
          <w:sz w:val="24"/>
          <w:szCs w:val="24"/>
        </w:rPr>
        <w:t>4、与投标有关的一切正式往来通讯，请寄：</w:t>
      </w:r>
    </w:p>
    <w:p>
      <w:pPr>
        <w:pStyle w:val="5"/>
        <w:spacing w:line="360" w:lineRule="auto"/>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rPr>
        <w:t>邮编：</w:t>
      </w:r>
      <w:r>
        <w:rPr>
          <w:rFonts w:hint="eastAsia"/>
          <w:sz w:val="24"/>
          <w:szCs w:val="24"/>
          <w:u w:val="single"/>
        </w:rPr>
        <w:t xml:space="preserve">   </w:t>
      </w:r>
    </w:p>
    <w:p>
      <w:pPr>
        <w:pStyle w:val="5"/>
        <w:spacing w:line="360" w:lineRule="auto"/>
        <w:rPr>
          <w:sz w:val="24"/>
          <w:szCs w:val="24"/>
          <w:u w:val="single"/>
        </w:rPr>
      </w:pPr>
      <w:r>
        <w:rPr>
          <w:rFonts w:hint="eastAsia"/>
          <w:sz w:val="24"/>
          <w:szCs w:val="24"/>
        </w:rPr>
        <w:t>电话：</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pPr>
        <w:pStyle w:val="5"/>
        <w:spacing w:line="360" w:lineRule="auto"/>
        <w:rPr>
          <w:sz w:val="24"/>
          <w:szCs w:val="24"/>
        </w:rPr>
      </w:pPr>
      <w:r>
        <w:rPr>
          <w:rFonts w:hint="eastAsia"/>
          <w:sz w:val="24"/>
          <w:szCs w:val="24"/>
        </w:rPr>
        <w:t>投标代表姓名，职务</w:t>
      </w:r>
      <w:r>
        <w:rPr>
          <w:rFonts w:hint="eastAsia"/>
          <w:sz w:val="24"/>
          <w:szCs w:val="24"/>
          <w:u w:val="single"/>
        </w:rPr>
        <w:t xml:space="preserve">   </w:t>
      </w:r>
    </w:p>
    <w:p>
      <w:pPr>
        <w:pStyle w:val="5"/>
        <w:spacing w:line="360" w:lineRule="auto"/>
        <w:rPr>
          <w:sz w:val="24"/>
          <w:szCs w:val="24"/>
          <w:u w:val="single"/>
        </w:rPr>
      </w:pPr>
      <w:r>
        <w:rPr>
          <w:rFonts w:hint="eastAsia"/>
          <w:sz w:val="24"/>
          <w:szCs w:val="24"/>
        </w:rPr>
        <w:t>投标人全称（加盖公章）</w:t>
      </w:r>
      <w:r>
        <w:rPr>
          <w:rFonts w:hint="eastAsia"/>
          <w:sz w:val="24"/>
          <w:szCs w:val="24"/>
          <w:u w:val="single"/>
        </w:rPr>
        <w:t xml:space="preserve">   </w:t>
      </w:r>
    </w:p>
    <w:p>
      <w:pPr>
        <w:pStyle w:val="5"/>
        <w:spacing w:line="360" w:lineRule="auto"/>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29" w:name="_Toc85_WPSOffice_Level1"/>
      <w:r>
        <w:rPr>
          <w:rFonts w:hint="eastAsia"/>
          <w:b/>
          <w:sz w:val="24"/>
          <w:szCs w:val="24"/>
        </w:rPr>
        <w:t>开标一览表</w:t>
      </w:r>
      <w:bookmarkEnd w:id="29"/>
    </w:p>
    <w:p>
      <w:pPr>
        <w:pStyle w:val="5"/>
        <w:spacing w:line="360" w:lineRule="auto"/>
        <w:ind w:firstLine="0"/>
        <w:rPr>
          <w:sz w:val="24"/>
          <w:szCs w:val="24"/>
          <w:u w:val="single"/>
        </w:rPr>
      </w:pPr>
      <w:r>
        <w:rPr>
          <w:rFonts w:hint="eastAsia"/>
          <w:sz w:val="24"/>
          <w:szCs w:val="24"/>
        </w:rPr>
        <w:t>投标人全称（加盖公章）</w:t>
      </w:r>
      <w:r>
        <w:rPr>
          <w:rFonts w:hint="eastAsia"/>
          <w:sz w:val="24"/>
          <w:szCs w:val="24"/>
          <w:u w:val="single"/>
        </w:rPr>
        <w:t xml:space="preserve">   </w:t>
      </w:r>
    </w:p>
    <w:p>
      <w:pPr>
        <w:pStyle w:val="5"/>
        <w:tabs>
          <w:tab w:val="left" w:pos="3570"/>
        </w:tabs>
        <w:spacing w:line="360" w:lineRule="auto"/>
        <w:ind w:right="-21" w:rightChars="-10" w:firstLine="0"/>
        <w:rPr>
          <w:sz w:val="24"/>
          <w:szCs w:val="24"/>
          <w:u w:val="single"/>
        </w:rPr>
      </w:pPr>
      <w:r>
        <w:rPr>
          <w:rFonts w:hint="eastAsia"/>
          <w:sz w:val="24"/>
          <w:szCs w:val="24"/>
        </w:rPr>
        <w:t>采购编号：</w:t>
      </w:r>
      <w:r>
        <w:rPr>
          <w:rFonts w:hint="eastAsia"/>
          <w:sz w:val="24"/>
          <w:szCs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422"/>
        <w:gridCol w:w="1066"/>
        <w:gridCol w:w="1260"/>
        <w:gridCol w:w="12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项目名称</w:t>
            </w: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型号规格</w:t>
            </w: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单价</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合价</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交货期</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bl>
    <w:p>
      <w:pPr>
        <w:pStyle w:val="5"/>
        <w:tabs>
          <w:tab w:val="left" w:pos="3570"/>
        </w:tabs>
        <w:spacing w:line="360" w:lineRule="auto"/>
        <w:ind w:right="-21" w:rightChars="-10" w:firstLine="0"/>
        <w:rPr>
          <w:rFonts w:hAnsi="Times New Roman"/>
          <w:sz w:val="24"/>
          <w:szCs w:val="24"/>
        </w:rPr>
      </w:pPr>
    </w:p>
    <w:p>
      <w:pPr>
        <w:pStyle w:val="5"/>
        <w:tabs>
          <w:tab w:val="left" w:pos="3570"/>
        </w:tabs>
        <w:spacing w:line="360" w:lineRule="auto"/>
        <w:ind w:right="-21" w:rightChars="-10" w:firstLine="0"/>
        <w:rPr>
          <w:sz w:val="24"/>
          <w:szCs w:val="24"/>
        </w:rPr>
      </w:pPr>
      <w:r>
        <w:rPr>
          <w:rFonts w:hint="eastAsia"/>
          <w:sz w:val="24"/>
          <w:szCs w:val="24"/>
        </w:rPr>
        <w:t>合同总报价：</w:t>
      </w:r>
    </w:p>
    <w:p>
      <w:pPr>
        <w:pStyle w:val="5"/>
        <w:spacing w:line="360" w:lineRule="auto"/>
        <w:ind w:firstLine="0"/>
        <w:rPr>
          <w:sz w:val="24"/>
          <w:szCs w:val="24"/>
          <w:u w:val="single"/>
        </w:rPr>
      </w:pPr>
      <w:r>
        <w:rPr>
          <w:rFonts w:hint="eastAsia"/>
          <w:sz w:val="24"/>
          <w:szCs w:val="24"/>
        </w:rPr>
        <w:t>投标代表签字职务</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rPr>
        <w:t>日期</w:t>
      </w:r>
      <w:r>
        <w:rPr>
          <w:rFonts w:hint="eastAsia"/>
          <w:sz w:val="24"/>
          <w:szCs w:val="24"/>
          <w:u w:val="single"/>
        </w:rPr>
        <w:t xml:space="preserve">   </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0" w:name="_Toc9457_WPSOffice_Level1"/>
      <w:r>
        <w:rPr>
          <w:rFonts w:hint="eastAsia"/>
          <w:b/>
          <w:sz w:val="24"/>
          <w:szCs w:val="24"/>
        </w:rPr>
        <w:t>系统配置清单及投标价格一览表</w:t>
      </w:r>
      <w:bookmarkEnd w:id="30"/>
    </w:p>
    <w:p>
      <w:pPr>
        <w:pStyle w:val="5"/>
        <w:spacing w:line="360" w:lineRule="auto"/>
        <w:ind w:firstLine="0"/>
        <w:rPr>
          <w:sz w:val="24"/>
          <w:szCs w:val="24"/>
        </w:rPr>
      </w:pPr>
      <w:r>
        <w:rPr>
          <w:rFonts w:hint="eastAsia"/>
          <w:sz w:val="24"/>
          <w:szCs w:val="24"/>
        </w:rPr>
        <w:t>投标人全称（加盖公章）</w:t>
      </w:r>
      <w:r>
        <w:rPr>
          <w:rFonts w:hint="eastAsia"/>
          <w:sz w:val="24"/>
          <w:szCs w:val="24"/>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57"/>
        <w:gridCol w:w="1417"/>
        <w:gridCol w:w="755"/>
        <w:gridCol w:w="982"/>
        <w:gridCol w:w="1058"/>
        <w:gridCol w:w="156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序号</w:t>
            </w: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型号规格</w:t>
            </w: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数量</w:t>
            </w: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单价</w:t>
            </w: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合价</w:t>
            </w: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r>
              <w:rPr>
                <w:rFonts w:hint="eastAsia"/>
                <w:sz w:val="24"/>
                <w:szCs w:val="24"/>
              </w:rPr>
              <w:t>保修期</w:t>
            </w: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pStyle w:val="5"/>
        <w:spacing w:line="360" w:lineRule="auto"/>
        <w:ind w:firstLine="0"/>
        <w:rPr>
          <w:sz w:val="24"/>
          <w:szCs w:val="24"/>
          <w:u w:val="single"/>
        </w:rPr>
      </w:pPr>
    </w:p>
    <w:p>
      <w:pPr>
        <w:pStyle w:val="5"/>
        <w:numPr>
          <w:ilvl w:val="1"/>
          <w:numId w:val="4"/>
        </w:numPr>
        <w:spacing w:line="360" w:lineRule="auto"/>
        <w:rPr>
          <w:b/>
          <w:sz w:val="24"/>
          <w:szCs w:val="24"/>
        </w:rPr>
      </w:pPr>
      <w:bookmarkStart w:id="31" w:name="_Toc6837_WPSOffice_Level1"/>
      <w:r>
        <w:rPr>
          <w:rFonts w:hint="eastAsia"/>
          <w:b/>
          <w:sz w:val="24"/>
          <w:szCs w:val="24"/>
        </w:rPr>
        <w:t>规格、技术参数偏离表</w:t>
      </w:r>
      <w:bookmarkEnd w:id="31"/>
    </w:p>
    <w:p>
      <w:pPr>
        <w:pStyle w:val="5"/>
        <w:spacing w:line="360" w:lineRule="auto"/>
        <w:ind w:firstLine="0"/>
        <w:rPr>
          <w:bCs/>
          <w:sz w:val="24"/>
          <w:szCs w:val="24"/>
          <w:u w:val="single"/>
        </w:rPr>
      </w:pPr>
      <w:r>
        <w:rPr>
          <w:rFonts w:hint="eastAsia"/>
          <w:bCs/>
          <w:sz w:val="24"/>
          <w:szCs w:val="24"/>
        </w:rPr>
        <w:t>投标人全称（加盖公章）</w:t>
      </w:r>
      <w:r>
        <w:rPr>
          <w:rFonts w:hint="eastAsia"/>
          <w:bCs/>
          <w:sz w:val="24"/>
          <w:szCs w:val="24"/>
          <w:u w:val="single"/>
        </w:rPr>
        <w:t xml:space="preserve">  </w:t>
      </w:r>
    </w:p>
    <w:tbl>
      <w:tblPr>
        <w:tblStyle w:val="12"/>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项目名称</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招标规格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投标规格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偏离情况</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2" w:name="_Toc18319_WPSOffice_Level1"/>
      <w:r>
        <w:rPr>
          <w:rFonts w:hint="eastAsia"/>
          <w:b/>
          <w:sz w:val="24"/>
          <w:szCs w:val="24"/>
        </w:rPr>
        <w:t>法定代表人授权书（原件）</w:t>
      </w:r>
      <w:bookmarkEnd w:id="32"/>
    </w:p>
    <w:p>
      <w:pPr>
        <w:pStyle w:val="5"/>
        <w:spacing w:line="360" w:lineRule="auto"/>
        <w:ind w:firstLine="480" w:firstLineChars="200"/>
        <w:rPr>
          <w:sz w:val="24"/>
          <w:szCs w:val="24"/>
        </w:rPr>
      </w:pPr>
      <w:r>
        <w:rPr>
          <w:rFonts w:hint="eastAsia"/>
          <w:sz w:val="24"/>
          <w:szCs w:val="24"/>
        </w:rPr>
        <w:t>兹有</w:t>
      </w:r>
      <w:r>
        <w:rPr>
          <w:rFonts w:hint="eastAsia"/>
          <w:sz w:val="24"/>
          <w:szCs w:val="24"/>
          <w:u w:val="single"/>
        </w:rPr>
        <w:t xml:space="preserve">  </w:t>
      </w:r>
      <w:r>
        <w:rPr>
          <w:rFonts w:hint="eastAsia"/>
          <w:sz w:val="24"/>
          <w:szCs w:val="24"/>
        </w:rPr>
        <w:t>（单位名称）的法定代表人</w:t>
      </w:r>
      <w:r>
        <w:rPr>
          <w:rFonts w:hint="eastAsia"/>
          <w:sz w:val="24"/>
          <w:szCs w:val="24"/>
          <w:u w:val="single"/>
        </w:rPr>
        <w:t>（</w:t>
      </w:r>
      <w:r>
        <w:rPr>
          <w:rFonts w:hint="eastAsia"/>
          <w:sz w:val="24"/>
          <w:szCs w:val="24"/>
        </w:rPr>
        <w:t>姓名）授权</w:t>
      </w:r>
      <w:r>
        <w:rPr>
          <w:rFonts w:hint="eastAsia"/>
          <w:sz w:val="24"/>
          <w:szCs w:val="24"/>
          <w:u w:val="single"/>
        </w:rPr>
        <w:t xml:space="preserve">  </w:t>
      </w:r>
      <w:r>
        <w:rPr>
          <w:rFonts w:hint="eastAsia"/>
          <w:sz w:val="24"/>
          <w:szCs w:val="24"/>
        </w:rPr>
        <w:t>（被授权人姓名）为</w:t>
      </w:r>
      <w:r>
        <w:rPr>
          <w:rFonts w:hint="eastAsia"/>
          <w:sz w:val="24"/>
          <w:szCs w:val="24"/>
          <w:u w:val="single"/>
        </w:rPr>
        <w:t>厦门大学嘉庚学院 （采购项目）</w:t>
      </w:r>
      <w:r>
        <w:rPr>
          <w:rFonts w:hint="eastAsia"/>
          <w:sz w:val="24"/>
          <w:szCs w:val="24"/>
        </w:rPr>
        <w:t>的投标代理人，以本公司名义处理一切与之有关的事宜。</w:t>
      </w:r>
    </w:p>
    <w:p>
      <w:pPr>
        <w:pStyle w:val="5"/>
        <w:spacing w:line="360" w:lineRule="auto"/>
        <w:ind w:firstLine="570"/>
        <w:rPr>
          <w:sz w:val="24"/>
          <w:szCs w:val="24"/>
        </w:rPr>
      </w:pPr>
      <w:r>
        <w:rPr>
          <w:rFonts w:hint="eastAsia"/>
          <w:sz w:val="24"/>
          <w:szCs w:val="24"/>
        </w:rPr>
        <w:t>本授权书仅对该项目有效，特此声明。</w:t>
      </w:r>
    </w:p>
    <w:p>
      <w:pPr>
        <w:pStyle w:val="5"/>
        <w:spacing w:line="360" w:lineRule="auto"/>
        <w:ind w:firstLine="570"/>
        <w:rPr>
          <w:sz w:val="24"/>
          <w:szCs w:val="24"/>
          <w:u w:val="single"/>
        </w:rPr>
      </w:pPr>
      <w:r>
        <w:rPr>
          <w:rFonts w:hint="eastAsia"/>
          <w:sz w:val="24"/>
          <w:szCs w:val="24"/>
        </w:rPr>
        <w:t>法定代表人签字：</w:t>
      </w:r>
      <w:r>
        <w:rPr>
          <w:rFonts w:hint="eastAsia"/>
          <w:sz w:val="24"/>
          <w:szCs w:val="24"/>
          <w:u w:val="single"/>
        </w:rPr>
        <w:t>　　　　　　　　　　　　　</w:t>
      </w:r>
    </w:p>
    <w:p>
      <w:pPr>
        <w:pStyle w:val="5"/>
        <w:spacing w:line="360" w:lineRule="auto"/>
        <w:ind w:firstLine="570"/>
        <w:rPr>
          <w:sz w:val="24"/>
          <w:szCs w:val="24"/>
          <w:u w:val="single"/>
        </w:rPr>
      </w:pPr>
      <w:r>
        <w:rPr>
          <w:rFonts w:hint="eastAsia"/>
          <w:sz w:val="24"/>
          <w:szCs w:val="24"/>
        </w:rPr>
        <w:t>被授权人签字：　</w:t>
      </w:r>
      <w:r>
        <w:rPr>
          <w:rFonts w:hint="eastAsia"/>
          <w:sz w:val="24"/>
          <w:szCs w:val="24"/>
          <w:u w:val="single"/>
        </w:rPr>
        <w:t>　　　　　　　　　</w:t>
      </w:r>
      <w:r>
        <w:rPr>
          <w:rFonts w:hint="eastAsia"/>
          <w:sz w:val="24"/>
          <w:szCs w:val="24"/>
        </w:rPr>
        <w:t>　职务：</w:t>
      </w:r>
      <w:r>
        <w:rPr>
          <w:rFonts w:hint="eastAsia"/>
          <w:sz w:val="24"/>
          <w:szCs w:val="24"/>
          <w:u w:val="single"/>
        </w:rPr>
        <w:t>　　　　　</w:t>
      </w:r>
    </w:p>
    <w:p>
      <w:pPr>
        <w:pStyle w:val="5"/>
        <w:spacing w:line="360" w:lineRule="auto"/>
        <w:ind w:firstLine="570"/>
        <w:rPr>
          <w:sz w:val="24"/>
          <w:szCs w:val="24"/>
        </w:rPr>
      </w:pPr>
      <w:r>
        <w:rPr>
          <w:rFonts w:hint="eastAsia"/>
          <w:sz w:val="24"/>
          <w:szCs w:val="24"/>
        </w:rPr>
        <w:t>投标单位详细地址：</w:t>
      </w:r>
      <w:r>
        <w:rPr>
          <w:rFonts w:hint="eastAsia"/>
          <w:sz w:val="24"/>
          <w:szCs w:val="24"/>
          <w:u w:val="single"/>
        </w:rPr>
        <w:t>　　　　　　　　　　　　　　　　　　</w:t>
      </w:r>
    </w:p>
    <w:p>
      <w:pPr>
        <w:pStyle w:val="5"/>
        <w:spacing w:line="360" w:lineRule="auto"/>
        <w:ind w:firstLine="570"/>
        <w:rPr>
          <w:sz w:val="24"/>
          <w:szCs w:val="24"/>
        </w:rPr>
      </w:pPr>
      <w:r>
        <w:rPr>
          <w:rFonts w:hint="eastAsia"/>
          <w:sz w:val="24"/>
          <w:szCs w:val="24"/>
        </w:rPr>
        <w:t>邮政编码：</w:t>
      </w:r>
    </w:p>
    <w:p>
      <w:pPr>
        <w:pStyle w:val="5"/>
        <w:spacing w:line="360" w:lineRule="auto"/>
        <w:ind w:firstLine="570"/>
        <w:rPr>
          <w:sz w:val="24"/>
          <w:szCs w:val="24"/>
        </w:rPr>
      </w:pPr>
      <w:r>
        <w:rPr>
          <w:rFonts w:hint="eastAsia"/>
          <w:sz w:val="24"/>
          <w:szCs w:val="24"/>
        </w:rPr>
        <w:t>E-mail:</w:t>
      </w:r>
    </w:p>
    <w:p>
      <w:pPr>
        <w:pStyle w:val="5"/>
        <w:spacing w:line="360" w:lineRule="auto"/>
        <w:ind w:firstLine="570"/>
        <w:rPr>
          <w:sz w:val="24"/>
          <w:szCs w:val="24"/>
        </w:rPr>
      </w:pPr>
      <w:r>
        <w:rPr>
          <w:rFonts w:hint="eastAsia"/>
          <w:sz w:val="24"/>
          <w:szCs w:val="24"/>
        </w:rPr>
        <w:t>联系电话／传真号码：</w:t>
      </w:r>
    </w:p>
    <w:p>
      <w:pPr>
        <w:pStyle w:val="5"/>
        <w:spacing w:line="360" w:lineRule="auto"/>
        <w:ind w:firstLine="57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ind w:firstLine="570"/>
        <w:rPr>
          <w:sz w:val="24"/>
          <w:szCs w:val="24"/>
        </w:rPr>
      </w:pPr>
      <w:r>
        <w:rPr>
          <w:rFonts w:hint="eastAsia"/>
          <w:sz w:val="24"/>
          <w:szCs w:val="24"/>
        </w:rPr>
        <w:t>　　　　　　　　　　　　　　　　　年　　  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3" w:name="_Toc11206_WPSOffice_Level1"/>
      <w:r>
        <w:rPr>
          <w:rFonts w:hint="eastAsia"/>
          <w:b/>
          <w:sz w:val="24"/>
          <w:szCs w:val="24"/>
        </w:rPr>
        <w:t>售后服务承诺</w:t>
      </w:r>
      <w:bookmarkEnd w:id="33"/>
    </w:p>
    <w:p>
      <w:pPr>
        <w:pStyle w:val="5"/>
        <w:spacing w:line="360" w:lineRule="auto"/>
        <w:ind w:firstLine="570"/>
        <w:jc w:val="center"/>
        <w:rPr>
          <w:b/>
          <w:bCs/>
          <w:sz w:val="24"/>
          <w:szCs w:val="24"/>
        </w:rPr>
      </w:pPr>
    </w:p>
    <w:p>
      <w:pPr>
        <w:pStyle w:val="5"/>
        <w:spacing w:line="360" w:lineRule="auto"/>
        <w:ind w:firstLine="0"/>
        <w:rPr>
          <w:sz w:val="24"/>
          <w:szCs w:val="24"/>
        </w:rPr>
      </w:pPr>
      <w:r>
        <w:rPr>
          <w:rFonts w:hint="eastAsia"/>
          <w:sz w:val="24"/>
          <w:szCs w:val="24"/>
        </w:rPr>
        <w:t>致：厦门大学嘉庚学院</w:t>
      </w:r>
    </w:p>
    <w:p>
      <w:pPr>
        <w:pStyle w:val="5"/>
        <w:spacing w:line="360" w:lineRule="auto"/>
        <w:ind w:firstLine="570"/>
        <w:rPr>
          <w:sz w:val="24"/>
          <w:szCs w:val="24"/>
        </w:rPr>
      </w:pPr>
      <w:r>
        <w:rPr>
          <w:rFonts w:hint="eastAsia"/>
          <w:sz w:val="24"/>
          <w:szCs w:val="24"/>
        </w:rPr>
        <w:t>　根据贵方为</w:t>
      </w:r>
      <w:r>
        <w:rPr>
          <w:rFonts w:hint="eastAsia"/>
          <w:sz w:val="24"/>
          <w:szCs w:val="24"/>
          <w:u w:val="single"/>
        </w:rPr>
        <w:t>　　　　　　　　　　</w:t>
      </w:r>
      <w:r>
        <w:rPr>
          <w:rFonts w:hint="eastAsia"/>
          <w:sz w:val="24"/>
          <w:szCs w:val="24"/>
        </w:rPr>
        <w:t>采购项目的投标邀请，我司对该项目做出如下售   后服务承诺：</w:t>
      </w:r>
    </w:p>
    <w:p>
      <w:pPr>
        <w:pStyle w:val="5"/>
        <w:spacing w:line="360" w:lineRule="auto"/>
        <w:ind w:firstLine="570"/>
        <w:rPr>
          <w:sz w:val="24"/>
          <w:szCs w:val="24"/>
        </w:rPr>
      </w:pPr>
      <w:r>
        <w:rPr>
          <w:rFonts w:hint="eastAsia"/>
          <w:sz w:val="24"/>
          <w:szCs w:val="24"/>
        </w:rPr>
        <w:t>（内容根据招标文件要求，由投标单位自拟，须清楚注明保修期内外的售后服务承诺）</w:t>
      </w:r>
    </w:p>
    <w:p>
      <w:pPr>
        <w:pStyle w:val="5"/>
        <w:spacing w:line="360" w:lineRule="auto"/>
        <w:ind w:firstLine="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pPr>
      <w:r>
        <w:rPr>
          <w:rFonts w:hint="eastAsia"/>
        </w:rPr>
        <w:t>　　　</w:t>
      </w:r>
    </w:p>
    <w:p>
      <w:pPr>
        <w:pStyle w:val="5"/>
        <w:spacing w:line="360" w:lineRule="auto"/>
        <w:ind w:left="3324" w:firstLine="0"/>
        <w:rPr>
          <w:b/>
          <w:sz w:val="24"/>
          <w:szCs w:val="24"/>
        </w:rPr>
      </w:pPr>
      <w:r>
        <w:rPr>
          <w:rFonts w:hint="eastAsia"/>
        </w:rPr>
        <w:br w:type="page"/>
      </w:r>
      <w:r>
        <w:rPr>
          <w:rFonts w:hint="eastAsia"/>
          <w:b/>
          <w:sz w:val="24"/>
          <w:szCs w:val="24"/>
        </w:rPr>
        <w:t>中标后出具的授权书（参考格式）</w:t>
      </w:r>
    </w:p>
    <w:p>
      <w:pPr>
        <w:pStyle w:val="5"/>
        <w:spacing w:line="360" w:lineRule="auto"/>
        <w:ind w:firstLine="0"/>
        <w:rPr>
          <w:sz w:val="24"/>
          <w:szCs w:val="24"/>
          <w:u w:val="single"/>
        </w:rPr>
      </w:pPr>
      <w:r>
        <w:rPr>
          <w:rFonts w:hint="eastAsia"/>
          <w:sz w:val="24"/>
          <w:szCs w:val="24"/>
          <w:u w:val="single"/>
        </w:rPr>
        <w:t>厦门大学嘉庚学院：</w:t>
      </w:r>
    </w:p>
    <w:p>
      <w:pPr>
        <w:pStyle w:val="5"/>
        <w:spacing w:line="360" w:lineRule="auto"/>
        <w:ind w:firstLine="480" w:firstLineChars="200"/>
        <w:rPr>
          <w:sz w:val="24"/>
          <w:szCs w:val="24"/>
          <w:u w:val="single"/>
        </w:rPr>
      </w:pPr>
      <w:r>
        <w:rPr>
          <w:rFonts w:hint="eastAsia"/>
          <w:sz w:val="24"/>
          <w:szCs w:val="24"/>
        </w:rPr>
        <w:t>我方</w:t>
      </w:r>
      <w:r>
        <w:rPr>
          <w:rFonts w:hint="eastAsia"/>
          <w:sz w:val="24"/>
          <w:szCs w:val="24"/>
          <w:u w:val="single"/>
        </w:rPr>
        <w:t xml:space="preserve"> </w:t>
      </w:r>
      <w:r>
        <w:rPr>
          <w:rFonts w:hint="eastAsia"/>
          <w:sz w:val="24"/>
          <w:szCs w:val="24"/>
        </w:rPr>
        <w:t>（制造商名称）是按</w:t>
      </w:r>
      <w:r>
        <w:rPr>
          <w:rFonts w:hint="eastAsia"/>
          <w:sz w:val="24"/>
          <w:szCs w:val="24"/>
          <w:u w:val="single"/>
        </w:rPr>
        <w:t xml:space="preserve">  </w:t>
      </w:r>
    </w:p>
    <w:p>
      <w:pPr>
        <w:pStyle w:val="5"/>
        <w:spacing w:line="360" w:lineRule="auto"/>
        <w:ind w:firstLine="990"/>
        <w:rPr>
          <w:sz w:val="24"/>
          <w:szCs w:val="24"/>
          <w:u w:val="single"/>
        </w:rPr>
      </w:pPr>
      <w:r>
        <w:rPr>
          <w:rFonts w:hint="eastAsia"/>
          <w:sz w:val="24"/>
          <w:szCs w:val="24"/>
        </w:rPr>
        <w:t>（国家名称）法律成立的一家制造商，主要营业地点设在</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u w:val="single"/>
        </w:rPr>
        <w:t xml:space="preserve">  </w:t>
      </w:r>
      <w:r>
        <w:rPr>
          <w:rFonts w:hint="eastAsia"/>
          <w:sz w:val="24"/>
          <w:szCs w:val="24"/>
        </w:rPr>
        <w:t>（制造商地址）。兹指派按</w:t>
      </w:r>
      <w:r>
        <w:rPr>
          <w:rFonts w:hint="eastAsia"/>
          <w:sz w:val="24"/>
          <w:szCs w:val="24"/>
          <w:u w:val="single"/>
        </w:rPr>
        <w:t xml:space="preserve"> </w:t>
      </w:r>
      <w:r>
        <w:rPr>
          <w:rFonts w:hint="eastAsia"/>
          <w:sz w:val="24"/>
          <w:szCs w:val="24"/>
        </w:rPr>
        <w:t>（国家）的法律正式成立的，主要营业地点设在</w:t>
      </w:r>
      <w:r>
        <w:rPr>
          <w:rFonts w:hint="eastAsia"/>
          <w:sz w:val="24"/>
          <w:szCs w:val="24"/>
          <w:u w:val="single"/>
        </w:rPr>
        <w:t xml:space="preserve">   </w:t>
      </w:r>
    </w:p>
    <w:p>
      <w:pPr>
        <w:pStyle w:val="5"/>
        <w:spacing w:line="360" w:lineRule="auto"/>
        <w:ind w:left="1" w:firstLine="0"/>
        <w:rPr>
          <w:sz w:val="24"/>
          <w:szCs w:val="24"/>
        </w:rPr>
      </w:pPr>
      <w:r>
        <w:rPr>
          <w:rFonts w:hint="eastAsia"/>
          <w:sz w:val="24"/>
          <w:szCs w:val="24"/>
          <w:u w:val="single"/>
        </w:rPr>
        <w:t xml:space="preserve"> （</w:t>
      </w:r>
      <w:r>
        <w:rPr>
          <w:rFonts w:hint="eastAsia"/>
          <w:sz w:val="24"/>
          <w:szCs w:val="24"/>
        </w:rPr>
        <w:t>投标人地址）的</w:t>
      </w:r>
      <w:r>
        <w:rPr>
          <w:rFonts w:hint="eastAsia"/>
          <w:sz w:val="24"/>
          <w:szCs w:val="24"/>
          <w:u w:val="single"/>
        </w:rPr>
        <w:t xml:space="preserve">  （</w:t>
      </w:r>
      <w:r>
        <w:rPr>
          <w:rFonts w:hint="eastAsia"/>
          <w:sz w:val="24"/>
          <w:szCs w:val="24"/>
        </w:rPr>
        <w:t>投标人名称）作为我方真正的和合法的代理人进行下列有效有活动：</w:t>
      </w:r>
    </w:p>
    <w:p>
      <w:pPr>
        <w:pStyle w:val="5"/>
        <w:spacing w:line="360" w:lineRule="auto"/>
        <w:ind w:firstLine="0"/>
        <w:rPr>
          <w:sz w:val="24"/>
          <w:szCs w:val="24"/>
        </w:rPr>
      </w:pPr>
      <w:r>
        <w:rPr>
          <w:rFonts w:hint="eastAsia"/>
          <w:sz w:val="24"/>
          <w:szCs w:val="24"/>
        </w:rPr>
        <w:t>（1）代表我方在中华人民共和国办理贵方</w:t>
      </w:r>
      <w:r>
        <w:rPr>
          <w:rFonts w:hint="eastAsia"/>
          <w:sz w:val="24"/>
          <w:szCs w:val="24"/>
          <w:u w:val="single"/>
        </w:rPr>
        <w:t xml:space="preserve">   </w:t>
      </w:r>
      <w:r>
        <w:rPr>
          <w:rFonts w:hint="eastAsia"/>
          <w:sz w:val="24"/>
          <w:szCs w:val="24"/>
        </w:rPr>
        <w:t>（招标编号）中标的关于（招标项目名称）要求提供的由我方制造的</w:t>
      </w:r>
      <w:r>
        <w:rPr>
          <w:rFonts w:hint="eastAsia"/>
          <w:sz w:val="24"/>
          <w:szCs w:val="24"/>
          <w:u w:val="single"/>
        </w:rPr>
        <w:t xml:space="preserve">   </w:t>
      </w:r>
      <w:r>
        <w:rPr>
          <w:rFonts w:hint="eastAsia"/>
          <w:sz w:val="24"/>
          <w:szCs w:val="24"/>
        </w:rPr>
        <w:t>（货物名称）的有关事宜，并对我方具有约束力。</w:t>
      </w:r>
    </w:p>
    <w:p>
      <w:pPr>
        <w:pStyle w:val="5"/>
        <w:spacing w:line="360" w:lineRule="auto"/>
        <w:ind w:firstLine="0"/>
        <w:rPr>
          <w:sz w:val="24"/>
          <w:szCs w:val="24"/>
        </w:rPr>
      </w:pPr>
      <w:r>
        <w:rPr>
          <w:rFonts w:hint="eastAsia"/>
          <w:sz w:val="24"/>
          <w:szCs w:val="24"/>
        </w:rPr>
        <w:t>（2）作为制造商，我方保证以投标合作者来约束自己，并对该投标共同和分别承担招标文件中所规定的义务。</w:t>
      </w:r>
    </w:p>
    <w:p>
      <w:pPr>
        <w:pStyle w:val="5"/>
        <w:spacing w:line="360" w:lineRule="auto"/>
        <w:ind w:firstLine="0"/>
        <w:rPr>
          <w:sz w:val="24"/>
          <w:szCs w:val="24"/>
        </w:rPr>
      </w:pPr>
      <w:r>
        <w:rPr>
          <w:rFonts w:hint="eastAsia"/>
          <w:sz w:val="24"/>
          <w:szCs w:val="24"/>
        </w:rPr>
        <w:t>（3）我方兹授予</w:t>
      </w:r>
      <w:r>
        <w:rPr>
          <w:rFonts w:hint="eastAsia"/>
          <w:sz w:val="24"/>
          <w:szCs w:val="24"/>
          <w:u w:val="single"/>
        </w:rPr>
        <w:t xml:space="preserve"> </w:t>
      </w:r>
      <w:r>
        <w:rPr>
          <w:rFonts w:hint="eastAsia"/>
          <w:sz w:val="24"/>
          <w:szCs w:val="24"/>
        </w:rPr>
        <w:t>（中标人）全权办理和履行上述我方为完成上述各点所必须的事宜，具有替换或撤消的全权。兹确认（中标人）或其正式授权代表依此合法地办理一切事宜。</w:t>
      </w:r>
    </w:p>
    <w:p>
      <w:pPr>
        <w:pStyle w:val="5"/>
        <w:spacing w:line="360" w:lineRule="auto"/>
        <w:ind w:firstLine="570"/>
        <w:rPr>
          <w:sz w:val="24"/>
          <w:szCs w:val="24"/>
        </w:rPr>
      </w:pPr>
      <w:r>
        <w:rPr>
          <w:rFonts w:hint="eastAsia"/>
          <w:sz w:val="24"/>
          <w:szCs w:val="24"/>
        </w:rPr>
        <w:t>我方于</w:t>
      </w:r>
      <w:r>
        <w:rPr>
          <w:rFonts w:hint="eastAsia"/>
          <w:b/>
          <w:bCs/>
          <w:sz w:val="24"/>
          <w:szCs w:val="24"/>
          <w:u w:val="single"/>
        </w:rPr>
        <w:t xml:space="preserve"> </w:t>
      </w:r>
      <w:r>
        <w:rPr>
          <w:rFonts w:hint="eastAsia"/>
          <w:sz w:val="24"/>
          <w:szCs w:val="24"/>
        </w:rPr>
        <w:t>年月日签署本文件，</w:t>
      </w:r>
      <w:r>
        <w:rPr>
          <w:rFonts w:hint="eastAsia"/>
          <w:sz w:val="24"/>
          <w:szCs w:val="24"/>
          <w:u w:val="single"/>
        </w:rPr>
        <w:t xml:space="preserve"> </w:t>
      </w:r>
      <w:r>
        <w:rPr>
          <w:rFonts w:hint="eastAsia"/>
          <w:sz w:val="24"/>
          <w:szCs w:val="24"/>
        </w:rPr>
        <w:t>（贸易公司名称）于</w:t>
      </w:r>
      <w:r>
        <w:rPr>
          <w:rFonts w:hint="eastAsia"/>
          <w:b/>
          <w:bCs/>
          <w:sz w:val="24"/>
          <w:szCs w:val="24"/>
          <w:u w:val="single"/>
        </w:rPr>
        <w:t xml:space="preserve"> </w:t>
      </w:r>
      <w:r>
        <w:rPr>
          <w:rFonts w:hint="eastAsia"/>
          <w:sz w:val="24"/>
          <w:szCs w:val="24"/>
        </w:rPr>
        <w:t>年月日接受此件，以此为证。</w:t>
      </w:r>
    </w:p>
    <w:p>
      <w:pPr>
        <w:pStyle w:val="5"/>
        <w:spacing w:line="360" w:lineRule="auto"/>
        <w:ind w:firstLine="570"/>
        <w:rPr>
          <w:sz w:val="24"/>
          <w:szCs w:val="24"/>
          <w:u w:val="single"/>
        </w:rPr>
      </w:pPr>
      <w:r>
        <w:rPr>
          <w:rFonts w:hint="eastAsia"/>
          <w:sz w:val="24"/>
          <w:szCs w:val="24"/>
        </w:rPr>
        <w:t>中标人名称：</w:t>
      </w:r>
      <w:r>
        <w:rPr>
          <w:rFonts w:hint="eastAsia"/>
          <w:sz w:val="24"/>
          <w:szCs w:val="24"/>
          <w:u w:val="single"/>
        </w:rPr>
        <w:t xml:space="preserve">   </w:t>
      </w:r>
    </w:p>
    <w:p>
      <w:pPr>
        <w:pStyle w:val="5"/>
        <w:spacing w:line="360" w:lineRule="auto"/>
        <w:ind w:firstLine="570"/>
        <w:rPr>
          <w:sz w:val="24"/>
          <w:szCs w:val="24"/>
          <w:u w:val="single"/>
        </w:rPr>
      </w:pPr>
      <w:r>
        <w:rPr>
          <w:rFonts w:hint="eastAsia"/>
          <w:sz w:val="24"/>
          <w:szCs w:val="24"/>
        </w:rPr>
        <w:t>出具授权书的制造商名称（加盖公章）：</w:t>
      </w:r>
      <w:r>
        <w:rPr>
          <w:rFonts w:hint="eastAsia"/>
          <w:sz w:val="24"/>
          <w:szCs w:val="24"/>
          <w:u w:val="single"/>
        </w:rPr>
        <w:t xml:space="preserve"> </w:t>
      </w:r>
    </w:p>
    <w:p>
      <w:pPr>
        <w:pStyle w:val="5"/>
        <w:spacing w:line="360" w:lineRule="auto"/>
        <w:ind w:firstLine="570"/>
        <w:rPr>
          <w:b/>
          <w:bCs/>
          <w:sz w:val="24"/>
          <w:szCs w:val="24"/>
        </w:rPr>
      </w:pPr>
      <w:r>
        <w:rPr>
          <w:rFonts w:hint="eastAsia"/>
          <w:sz w:val="24"/>
          <w:szCs w:val="24"/>
        </w:rPr>
        <w:t>正式授权签字代表  姓名、职务和部门：</w:t>
      </w:r>
    </w:p>
    <w:p>
      <w:pPr>
        <w:pStyle w:val="5"/>
        <w:spacing w:line="360" w:lineRule="auto"/>
        <w:ind w:firstLine="6615" w:firstLineChars="3150"/>
        <w:rPr>
          <w:sz w:val="24"/>
          <w:szCs w:val="24"/>
        </w:rPr>
      </w:pPr>
      <w:bookmarkStart w:id="34" w:name="_Toc16191_WPSOffice_Level1"/>
      <w:r>
        <w:rPr>
          <w:rFonts w:hint="eastAsia"/>
        </w:rPr>
        <w:t>年　　月　　日</w:t>
      </w:r>
      <w:bookmarkEnd w:id="34"/>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CjdPRQgCAAACBAAADgAAAAAAAAABACAAAAAfAQAAZHJz&#10;L2Uyb0RvYy54bWxQSwUGAAAAAAYABgBZAQAAm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637EA"/>
    <w:multiLevelType w:val="multilevel"/>
    <w:tmpl w:val="366637EA"/>
    <w:lvl w:ilvl="0" w:tentative="0">
      <w:start w:val="1"/>
      <w:numFmt w:val="chineseCountingThousand"/>
      <w:lvlText w:val="第%1章 "/>
      <w:lvlJc w:val="left"/>
      <w:pPr>
        <w:tabs>
          <w:tab w:val="left" w:pos="420"/>
        </w:tabs>
        <w:ind w:left="420" w:hanging="420"/>
      </w:pPr>
      <w:rPr>
        <w:rFonts w:cs="Times New Roman"/>
      </w:rPr>
    </w:lvl>
    <w:lvl w:ilvl="1" w:tentative="0">
      <w:start w:val="1"/>
      <w:numFmt w:val="chineseCountingThousand"/>
      <w:lvlText w:val="%2、"/>
      <w:lvlJc w:val="left"/>
      <w:pPr>
        <w:tabs>
          <w:tab w:val="left" w:pos="840"/>
        </w:tabs>
        <w:ind w:left="840" w:hanging="420"/>
      </w:pPr>
      <w:rPr>
        <w:rFonts w:cs="Times New Roman"/>
      </w:rPr>
    </w:lvl>
    <w:lvl w:ilvl="2" w:tentative="0">
      <w:start w:val="1"/>
      <w:numFmt w:val="japaneseCounting"/>
      <w:lvlText w:val="%3、"/>
      <w:lvlJc w:val="left"/>
      <w:pPr>
        <w:tabs>
          <w:tab w:val="left" w:pos="1755"/>
        </w:tabs>
        <w:ind w:left="1755" w:hanging="915"/>
      </w:pPr>
      <w:rPr>
        <w:rFonts w:hint="default" w:ascii="Times New Roman" w:hAnsi="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8AE33B7"/>
    <w:multiLevelType w:val="multilevel"/>
    <w:tmpl w:val="38AE33B7"/>
    <w:lvl w:ilvl="0" w:tentative="0">
      <w:start w:val="1"/>
      <w:numFmt w:val="chineseCountingThousand"/>
      <w:lvlText w:val="第%1节"/>
      <w:lvlJc w:val="left"/>
      <w:pPr>
        <w:tabs>
          <w:tab w:val="left" w:pos="420"/>
        </w:tabs>
        <w:ind w:left="420" w:hanging="420"/>
      </w:pPr>
      <w:rPr>
        <w:rFonts w:cs="Times New Roman"/>
      </w:rPr>
    </w:lvl>
    <w:lvl w:ilvl="1" w:tentative="0">
      <w:start w:val="1"/>
      <w:numFmt w:val="decimal"/>
      <w:lvlText w:val="格式%2    "/>
      <w:lvlJc w:val="left"/>
      <w:pPr>
        <w:tabs>
          <w:tab w:val="left" w:pos="3324"/>
        </w:tabs>
        <w:ind w:left="3324" w:hanging="630"/>
      </w:pPr>
      <w:rPr>
        <w:rFonts w:cs="Times New Roman"/>
        <w:strike w:val="0"/>
        <w:dstrike w:val="0"/>
        <w:u w:val="no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B07E4E"/>
    <w:multiLevelType w:val="multilevel"/>
    <w:tmpl w:val="3FB07E4E"/>
    <w:lvl w:ilvl="0" w:tentative="0">
      <w:start w:val="1"/>
      <w:numFmt w:val="decimal"/>
      <w:lvlText w:val="%1."/>
      <w:lvlJc w:val="left"/>
      <w:pPr>
        <w:tabs>
          <w:tab w:val="left" w:pos="454"/>
        </w:tabs>
        <w:ind w:left="0" w:firstLine="0"/>
      </w:pPr>
      <w:rPr>
        <w:rFonts w:cs="Times New Roman"/>
      </w:rPr>
    </w:lvl>
    <w:lvl w:ilvl="1" w:tentative="0">
      <w:start w:val="1"/>
      <w:numFmt w:val="decimal"/>
      <w:lvlText w:val="%1.%2."/>
      <w:lvlJc w:val="left"/>
      <w:pPr>
        <w:tabs>
          <w:tab w:val="left" w:pos="454"/>
        </w:tabs>
        <w:ind w:left="0" w:firstLine="0"/>
      </w:pPr>
      <w:rPr>
        <w:rFonts w:cs="Times New Roman"/>
        <w:b w:val="0"/>
      </w:rPr>
    </w:lvl>
    <w:lvl w:ilvl="2" w:tentative="0">
      <w:start w:val="1"/>
      <w:numFmt w:val="decimal"/>
      <w:lvlText w:val="%1.%2.%3."/>
      <w:lvlJc w:val="left"/>
      <w:pPr>
        <w:tabs>
          <w:tab w:val="left" w:pos="454"/>
        </w:tabs>
        <w:ind w:left="0" w:firstLine="0"/>
      </w:pPr>
      <w:rPr>
        <w:rFonts w:cs="Times New Roman"/>
      </w:rPr>
    </w:lvl>
    <w:lvl w:ilvl="3" w:tentative="0">
      <w:start w:val="1"/>
      <w:numFmt w:val="decimal"/>
      <w:lvlText w:val="%1.%2.%3.%4."/>
      <w:lvlJc w:val="left"/>
      <w:pPr>
        <w:tabs>
          <w:tab w:val="left" w:pos="454"/>
        </w:tabs>
        <w:ind w:left="0" w:firstLine="0"/>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3">
    <w:nsid w:val="6AD0021A"/>
    <w:multiLevelType w:val="multilevel"/>
    <w:tmpl w:val="6AD0021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ZjhlMjlkNmQ1NTM0Y2FkODUzNDJjOTQ1YTk2MDcifQ=="/>
  </w:docVars>
  <w:rsids>
    <w:rsidRoot w:val="00063100"/>
    <w:rsid w:val="00007295"/>
    <w:rsid w:val="00024FDE"/>
    <w:rsid w:val="00027308"/>
    <w:rsid w:val="000558CA"/>
    <w:rsid w:val="00056D2B"/>
    <w:rsid w:val="00063100"/>
    <w:rsid w:val="0006316D"/>
    <w:rsid w:val="00065669"/>
    <w:rsid w:val="00065A8B"/>
    <w:rsid w:val="00076A11"/>
    <w:rsid w:val="0007708C"/>
    <w:rsid w:val="00081D6F"/>
    <w:rsid w:val="0009638E"/>
    <w:rsid w:val="000A5846"/>
    <w:rsid w:val="000B60CD"/>
    <w:rsid w:val="000C015C"/>
    <w:rsid w:val="000D696D"/>
    <w:rsid w:val="000E653A"/>
    <w:rsid w:val="000F1DD8"/>
    <w:rsid w:val="000F4621"/>
    <w:rsid w:val="001274D9"/>
    <w:rsid w:val="00127887"/>
    <w:rsid w:val="001328D8"/>
    <w:rsid w:val="00137CE0"/>
    <w:rsid w:val="001505A7"/>
    <w:rsid w:val="0015594A"/>
    <w:rsid w:val="00156284"/>
    <w:rsid w:val="00157B4A"/>
    <w:rsid w:val="00167D00"/>
    <w:rsid w:val="001800C8"/>
    <w:rsid w:val="00181684"/>
    <w:rsid w:val="001C2711"/>
    <w:rsid w:val="001D59D0"/>
    <w:rsid w:val="001D7DD5"/>
    <w:rsid w:val="001E33A3"/>
    <w:rsid w:val="001E408D"/>
    <w:rsid w:val="001F66BE"/>
    <w:rsid w:val="00207A7B"/>
    <w:rsid w:val="00217B6F"/>
    <w:rsid w:val="00217F53"/>
    <w:rsid w:val="00236447"/>
    <w:rsid w:val="00240535"/>
    <w:rsid w:val="00241AFF"/>
    <w:rsid w:val="00245024"/>
    <w:rsid w:val="0024688A"/>
    <w:rsid w:val="00250C7E"/>
    <w:rsid w:val="00253C0F"/>
    <w:rsid w:val="00261807"/>
    <w:rsid w:val="00261C6D"/>
    <w:rsid w:val="0026209B"/>
    <w:rsid w:val="00267243"/>
    <w:rsid w:val="002829A8"/>
    <w:rsid w:val="00287BCE"/>
    <w:rsid w:val="002B2766"/>
    <w:rsid w:val="002B48F6"/>
    <w:rsid w:val="002B5DAD"/>
    <w:rsid w:val="002B630C"/>
    <w:rsid w:val="002C3391"/>
    <w:rsid w:val="002D3243"/>
    <w:rsid w:val="002D489A"/>
    <w:rsid w:val="002D7CB4"/>
    <w:rsid w:val="002E38C2"/>
    <w:rsid w:val="002E3FA7"/>
    <w:rsid w:val="002F36C0"/>
    <w:rsid w:val="00303071"/>
    <w:rsid w:val="00311C25"/>
    <w:rsid w:val="00312D10"/>
    <w:rsid w:val="00330F54"/>
    <w:rsid w:val="00336E01"/>
    <w:rsid w:val="00340F65"/>
    <w:rsid w:val="0034782E"/>
    <w:rsid w:val="0035424E"/>
    <w:rsid w:val="00354671"/>
    <w:rsid w:val="0035513B"/>
    <w:rsid w:val="00356621"/>
    <w:rsid w:val="00356AB2"/>
    <w:rsid w:val="00364FA6"/>
    <w:rsid w:val="00365DE0"/>
    <w:rsid w:val="00366FEF"/>
    <w:rsid w:val="00380A38"/>
    <w:rsid w:val="00390B48"/>
    <w:rsid w:val="0039476C"/>
    <w:rsid w:val="003970F3"/>
    <w:rsid w:val="003974C7"/>
    <w:rsid w:val="003B5C72"/>
    <w:rsid w:val="003D12E9"/>
    <w:rsid w:val="003D325E"/>
    <w:rsid w:val="003D39E1"/>
    <w:rsid w:val="003E5314"/>
    <w:rsid w:val="003F0814"/>
    <w:rsid w:val="003F14C9"/>
    <w:rsid w:val="003F4C6B"/>
    <w:rsid w:val="003F74AD"/>
    <w:rsid w:val="004028DD"/>
    <w:rsid w:val="00404960"/>
    <w:rsid w:val="00411663"/>
    <w:rsid w:val="00414BE7"/>
    <w:rsid w:val="00421081"/>
    <w:rsid w:val="004215DA"/>
    <w:rsid w:val="00430DD6"/>
    <w:rsid w:val="004322BA"/>
    <w:rsid w:val="00434E9E"/>
    <w:rsid w:val="00452879"/>
    <w:rsid w:val="00467472"/>
    <w:rsid w:val="004701B8"/>
    <w:rsid w:val="004708B6"/>
    <w:rsid w:val="00486677"/>
    <w:rsid w:val="004877C3"/>
    <w:rsid w:val="0049023A"/>
    <w:rsid w:val="0049273C"/>
    <w:rsid w:val="004959FA"/>
    <w:rsid w:val="004A7920"/>
    <w:rsid w:val="004C2D81"/>
    <w:rsid w:val="004C3BF2"/>
    <w:rsid w:val="004D0FCF"/>
    <w:rsid w:val="004D36D3"/>
    <w:rsid w:val="004D3AE5"/>
    <w:rsid w:val="004D6731"/>
    <w:rsid w:val="004E4230"/>
    <w:rsid w:val="004F37FC"/>
    <w:rsid w:val="005078E0"/>
    <w:rsid w:val="00525B0E"/>
    <w:rsid w:val="00561459"/>
    <w:rsid w:val="00567FEC"/>
    <w:rsid w:val="00571328"/>
    <w:rsid w:val="005714B1"/>
    <w:rsid w:val="00580619"/>
    <w:rsid w:val="00580A05"/>
    <w:rsid w:val="00580A82"/>
    <w:rsid w:val="0058376A"/>
    <w:rsid w:val="005B02BA"/>
    <w:rsid w:val="005B195E"/>
    <w:rsid w:val="005C4059"/>
    <w:rsid w:val="005E315D"/>
    <w:rsid w:val="005E7E34"/>
    <w:rsid w:val="0060315E"/>
    <w:rsid w:val="00603941"/>
    <w:rsid w:val="006158FD"/>
    <w:rsid w:val="0064182C"/>
    <w:rsid w:val="00651FA8"/>
    <w:rsid w:val="00656282"/>
    <w:rsid w:val="00663026"/>
    <w:rsid w:val="00670E72"/>
    <w:rsid w:val="00695F78"/>
    <w:rsid w:val="006C39C9"/>
    <w:rsid w:val="006C3C7A"/>
    <w:rsid w:val="006D3DEF"/>
    <w:rsid w:val="006D6259"/>
    <w:rsid w:val="006E5A1F"/>
    <w:rsid w:val="006F0807"/>
    <w:rsid w:val="006F3DDC"/>
    <w:rsid w:val="006F687D"/>
    <w:rsid w:val="006F72DA"/>
    <w:rsid w:val="00705F4D"/>
    <w:rsid w:val="00715C72"/>
    <w:rsid w:val="0072424F"/>
    <w:rsid w:val="007253A1"/>
    <w:rsid w:val="007424A9"/>
    <w:rsid w:val="00745512"/>
    <w:rsid w:val="007464E8"/>
    <w:rsid w:val="0074691D"/>
    <w:rsid w:val="00752D87"/>
    <w:rsid w:val="00763E77"/>
    <w:rsid w:val="007641E4"/>
    <w:rsid w:val="007849CF"/>
    <w:rsid w:val="00787117"/>
    <w:rsid w:val="00793476"/>
    <w:rsid w:val="007B39C5"/>
    <w:rsid w:val="007B437B"/>
    <w:rsid w:val="007C7C7E"/>
    <w:rsid w:val="007D5D90"/>
    <w:rsid w:val="007E58F4"/>
    <w:rsid w:val="007F1D9C"/>
    <w:rsid w:val="007F58AB"/>
    <w:rsid w:val="007F6FF8"/>
    <w:rsid w:val="007F72C5"/>
    <w:rsid w:val="00811BFF"/>
    <w:rsid w:val="00814972"/>
    <w:rsid w:val="00824756"/>
    <w:rsid w:val="008270DD"/>
    <w:rsid w:val="008503E3"/>
    <w:rsid w:val="0085076E"/>
    <w:rsid w:val="008550B3"/>
    <w:rsid w:val="0087058C"/>
    <w:rsid w:val="00870981"/>
    <w:rsid w:val="00876745"/>
    <w:rsid w:val="00877AEB"/>
    <w:rsid w:val="00884F88"/>
    <w:rsid w:val="00890A8D"/>
    <w:rsid w:val="00895C40"/>
    <w:rsid w:val="00896944"/>
    <w:rsid w:val="008A3748"/>
    <w:rsid w:val="008A47F6"/>
    <w:rsid w:val="008C039E"/>
    <w:rsid w:val="008D13B7"/>
    <w:rsid w:val="008D1742"/>
    <w:rsid w:val="008D5E05"/>
    <w:rsid w:val="008D743B"/>
    <w:rsid w:val="008E6E4F"/>
    <w:rsid w:val="008F685B"/>
    <w:rsid w:val="00900DD5"/>
    <w:rsid w:val="00936A58"/>
    <w:rsid w:val="00936DD9"/>
    <w:rsid w:val="00936E45"/>
    <w:rsid w:val="0094151C"/>
    <w:rsid w:val="00942BB0"/>
    <w:rsid w:val="00946291"/>
    <w:rsid w:val="0095201F"/>
    <w:rsid w:val="0096389A"/>
    <w:rsid w:val="00974E18"/>
    <w:rsid w:val="00980843"/>
    <w:rsid w:val="009872BA"/>
    <w:rsid w:val="009A314B"/>
    <w:rsid w:val="009A4D25"/>
    <w:rsid w:val="009A521C"/>
    <w:rsid w:val="009D5F63"/>
    <w:rsid w:val="009E43E4"/>
    <w:rsid w:val="009E53C6"/>
    <w:rsid w:val="00A0199C"/>
    <w:rsid w:val="00A02EAF"/>
    <w:rsid w:val="00A057CC"/>
    <w:rsid w:val="00A117D2"/>
    <w:rsid w:val="00A22C55"/>
    <w:rsid w:val="00A22F14"/>
    <w:rsid w:val="00A26745"/>
    <w:rsid w:val="00A41661"/>
    <w:rsid w:val="00A45B8C"/>
    <w:rsid w:val="00A45CCB"/>
    <w:rsid w:val="00A4670C"/>
    <w:rsid w:val="00A82C71"/>
    <w:rsid w:val="00A83854"/>
    <w:rsid w:val="00A919E6"/>
    <w:rsid w:val="00A91E3E"/>
    <w:rsid w:val="00A9254A"/>
    <w:rsid w:val="00A93089"/>
    <w:rsid w:val="00A949CB"/>
    <w:rsid w:val="00A97B71"/>
    <w:rsid w:val="00AA0C21"/>
    <w:rsid w:val="00AA5221"/>
    <w:rsid w:val="00AA5511"/>
    <w:rsid w:val="00AB1E50"/>
    <w:rsid w:val="00AB1FD1"/>
    <w:rsid w:val="00AB7652"/>
    <w:rsid w:val="00AB7826"/>
    <w:rsid w:val="00AC2A5C"/>
    <w:rsid w:val="00AC3262"/>
    <w:rsid w:val="00AC5B9B"/>
    <w:rsid w:val="00AC69B9"/>
    <w:rsid w:val="00AD20EC"/>
    <w:rsid w:val="00AF1358"/>
    <w:rsid w:val="00B07887"/>
    <w:rsid w:val="00B15C98"/>
    <w:rsid w:val="00B21DE8"/>
    <w:rsid w:val="00B243F7"/>
    <w:rsid w:val="00B37A52"/>
    <w:rsid w:val="00B45C30"/>
    <w:rsid w:val="00B569FA"/>
    <w:rsid w:val="00B62D21"/>
    <w:rsid w:val="00B62DE7"/>
    <w:rsid w:val="00B63578"/>
    <w:rsid w:val="00B66F6B"/>
    <w:rsid w:val="00B766E2"/>
    <w:rsid w:val="00BA76ED"/>
    <w:rsid w:val="00BB06A3"/>
    <w:rsid w:val="00BC50AE"/>
    <w:rsid w:val="00BC5271"/>
    <w:rsid w:val="00BD65F0"/>
    <w:rsid w:val="00BE7F49"/>
    <w:rsid w:val="00BF3D1D"/>
    <w:rsid w:val="00BF3DB2"/>
    <w:rsid w:val="00C07A64"/>
    <w:rsid w:val="00C1366B"/>
    <w:rsid w:val="00C318C8"/>
    <w:rsid w:val="00C320C3"/>
    <w:rsid w:val="00C32A1B"/>
    <w:rsid w:val="00C45991"/>
    <w:rsid w:val="00C46903"/>
    <w:rsid w:val="00C4721C"/>
    <w:rsid w:val="00C53A68"/>
    <w:rsid w:val="00C63CCF"/>
    <w:rsid w:val="00C76944"/>
    <w:rsid w:val="00C77547"/>
    <w:rsid w:val="00C85E1A"/>
    <w:rsid w:val="00C86063"/>
    <w:rsid w:val="00CA138A"/>
    <w:rsid w:val="00CB3761"/>
    <w:rsid w:val="00CC37ED"/>
    <w:rsid w:val="00CD5940"/>
    <w:rsid w:val="00CE2B9F"/>
    <w:rsid w:val="00CE2DF5"/>
    <w:rsid w:val="00CE502D"/>
    <w:rsid w:val="00CF7F2C"/>
    <w:rsid w:val="00D003A6"/>
    <w:rsid w:val="00D04BC3"/>
    <w:rsid w:val="00D067DA"/>
    <w:rsid w:val="00D12569"/>
    <w:rsid w:val="00D14DDF"/>
    <w:rsid w:val="00D17AD6"/>
    <w:rsid w:val="00D24FB5"/>
    <w:rsid w:val="00D54655"/>
    <w:rsid w:val="00D5624D"/>
    <w:rsid w:val="00D63A50"/>
    <w:rsid w:val="00D7144E"/>
    <w:rsid w:val="00D9138D"/>
    <w:rsid w:val="00D930AB"/>
    <w:rsid w:val="00DA6B67"/>
    <w:rsid w:val="00DB79AE"/>
    <w:rsid w:val="00DD0A40"/>
    <w:rsid w:val="00DD1E59"/>
    <w:rsid w:val="00DE7D2F"/>
    <w:rsid w:val="00DF676F"/>
    <w:rsid w:val="00DF68E0"/>
    <w:rsid w:val="00DF7BB4"/>
    <w:rsid w:val="00E034D2"/>
    <w:rsid w:val="00E11EB5"/>
    <w:rsid w:val="00E2059D"/>
    <w:rsid w:val="00E3242D"/>
    <w:rsid w:val="00E52375"/>
    <w:rsid w:val="00E5619A"/>
    <w:rsid w:val="00E6353B"/>
    <w:rsid w:val="00E63B52"/>
    <w:rsid w:val="00E70E44"/>
    <w:rsid w:val="00E9328E"/>
    <w:rsid w:val="00E94F06"/>
    <w:rsid w:val="00E9505E"/>
    <w:rsid w:val="00EA7604"/>
    <w:rsid w:val="00EB5ED5"/>
    <w:rsid w:val="00EB6330"/>
    <w:rsid w:val="00EC6B72"/>
    <w:rsid w:val="00EC6DE1"/>
    <w:rsid w:val="00F07F32"/>
    <w:rsid w:val="00F11118"/>
    <w:rsid w:val="00F25A66"/>
    <w:rsid w:val="00F268B4"/>
    <w:rsid w:val="00F314D6"/>
    <w:rsid w:val="00F33B70"/>
    <w:rsid w:val="00F7506F"/>
    <w:rsid w:val="00F93EFC"/>
    <w:rsid w:val="00FA6EB7"/>
    <w:rsid w:val="00FB11B9"/>
    <w:rsid w:val="00FB1451"/>
    <w:rsid w:val="00FB4C02"/>
    <w:rsid w:val="00FB4C1E"/>
    <w:rsid w:val="00FC5206"/>
    <w:rsid w:val="00FC69C9"/>
    <w:rsid w:val="00FE1FE6"/>
    <w:rsid w:val="00FE3D3B"/>
    <w:rsid w:val="00FF791E"/>
    <w:rsid w:val="011E47B9"/>
    <w:rsid w:val="01A83321"/>
    <w:rsid w:val="02DE7C7D"/>
    <w:rsid w:val="03E72B61"/>
    <w:rsid w:val="03FF1680"/>
    <w:rsid w:val="072751FD"/>
    <w:rsid w:val="073065CD"/>
    <w:rsid w:val="076A642A"/>
    <w:rsid w:val="0A1C72DC"/>
    <w:rsid w:val="0A3208AE"/>
    <w:rsid w:val="0C963376"/>
    <w:rsid w:val="0CFB121A"/>
    <w:rsid w:val="0FCD5301"/>
    <w:rsid w:val="108C6F6A"/>
    <w:rsid w:val="109776BD"/>
    <w:rsid w:val="112371A2"/>
    <w:rsid w:val="16BB64CF"/>
    <w:rsid w:val="16E8367D"/>
    <w:rsid w:val="17042637"/>
    <w:rsid w:val="17FB49D5"/>
    <w:rsid w:val="1821055B"/>
    <w:rsid w:val="19426D4F"/>
    <w:rsid w:val="19BC72E3"/>
    <w:rsid w:val="1BBD1204"/>
    <w:rsid w:val="1C2269D4"/>
    <w:rsid w:val="1DCF0496"/>
    <w:rsid w:val="1E277D5A"/>
    <w:rsid w:val="201E7EC3"/>
    <w:rsid w:val="238E2BA1"/>
    <w:rsid w:val="24CA7C09"/>
    <w:rsid w:val="25F4564C"/>
    <w:rsid w:val="262E6120"/>
    <w:rsid w:val="271E2114"/>
    <w:rsid w:val="2A7228D5"/>
    <w:rsid w:val="2BA86DD3"/>
    <w:rsid w:val="2D1563CE"/>
    <w:rsid w:val="2D177764"/>
    <w:rsid w:val="317F6C78"/>
    <w:rsid w:val="32AB3663"/>
    <w:rsid w:val="35447564"/>
    <w:rsid w:val="38253A2D"/>
    <w:rsid w:val="38284F1B"/>
    <w:rsid w:val="3CB52AF5"/>
    <w:rsid w:val="4100250D"/>
    <w:rsid w:val="4103471A"/>
    <w:rsid w:val="422C4453"/>
    <w:rsid w:val="44B33DBE"/>
    <w:rsid w:val="45833790"/>
    <w:rsid w:val="473C3D0A"/>
    <w:rsid w:val="48E829AC"/>
    <w:rsid w:val="500072D8"/>
    <w:rsid w:val="511300BE"/>
    <w:rsid w:val="5391176E"/>
    <w:rsid w:val="5415414D"/>
    <w:rsid w:val="545D5AF4"/>
    <w:rsid w:val="55F316D6"/>
    <w:rsid w:val="5AAC3332"/>
    <w:rsid w:val="5BFF0E07"/>
    <w:rsid w:val="5D2673CB"/>
    <w:rsid w:val="5F13397F"/>
    <w:rsid w:val="62A40851"/>
    <w:rsid w:val="658670E4"/>
    <w:rsid w:val="65956E9C"/>
    <w:rsid w:val="65CD5B49"/>
    <w:rsid w:val="68B75523"/>
    <w:rsid w:val="690D143F"/>
    <w:rsid w:val="69DF102E"/>
    <w:rsid w:val="6A0445F0"/>
    <w:rsid w:val="6A4E3FBA"/>
    <w:rsid w:val="6BBB0026"/>
    <w:rsid w:val="6D3E68D8"/>
    <w:rsid w:val="6E96204F"/>
    <w:rsid w:val="6F864954"/>
    <w:rsid w:val="705D6067"/>
    <w:rsid w:val="716845E0"/>
    <w:rsid w:val="72A03019"/>
    <w:rsid w:val="73441F01"/>
    <w:rsid w:val="76A70D0E"/>
    <w:rsid w:val="7B163D26"/>
    <w:rsid w:val="7BD5365B"/>
    <w:rsid w:val="7BE92A89"/>
    <w:rsid w:val="7C4A0074"/>
    <w:rsid w:val="7C835849"/>
    <w:rsid w:val="7C9E41BD"/>
    <w:rsid w:val="7DEE1102"/>
    <w:rsid w:val="7F60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Indent 2"/>
    <w:basedOn w:val="1"/>
    <w:link w:val="19"/>
    <w:qFormat/>
    <w:uiPriority w:val="0"/>
    <w:pPr>
      <w:spacing w:line="300" w:lineRule="auto"/>
      <w:ind w:firstLine="425"/>
    </w:pPr>
    <w:rPr>
      <w:rFonts w:ascii="宋体" w:hAnsi="宋体"/>
      <w:szCs w:val="20"/>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toc 2"/>
    <w:basedOn w:val="1"/>
    <w:next w:val="1"/>
    <w:qFormat/>
    <w:uiPriority w:val="39"/>
    <w:pPr>
      <w:ind w:left="210"/>
      <w:jc w:val="left"/>
    </w:pPr>
    <w:rPr>
      <w:smallCaps/>
      <w:sz w:val="20"/>
      <w:szCs w:val="20"/>
    </w:rPr>
  </w:style>
  <w:style w:type="paragraph" w:styleId="11">
    <w:name w:val="annotation subject"/>
    <w:basedOn w:val="4"/>
    <w:next w:val="4"/>
    <w:link w:val="21"/>
    <w:qFormat/>
    <w:uiPriority w:val="0"/>
    <w:rPr>
      <w:b/>
      <w:bCs/>
    </w:rPr>
  </w:style>
  <w:style w:type="character" w:styleId="14">
    <w:name w:val="Hyperlink"/>
    <w:qFormat/>
    <w:uiPriority w:val="99"/>
    <w:rPr>
      <w:rFonts w:hint="default" w:ascii="Times New Roman" w:hAnsi="Times New Roman" w:cs="Times New Roman"/>
      <w:color w:val="222222"/>
      <w:u w:val="none"/>
    </w:rPr>
  </w:style>
  <w:style w:type="character" w:styleId="15">
    <w:name w:val="annotation reference"/>
    <w:qFormat/>
    <w:uiPriority w:val="0"/>
    <w:rPr>
      <w:sz w:val="21"/>
      <w:szCs w:val="21"/>
    </w:rPr>
  </w:style>
  <w:style w:type="character" w:customStyle="1" w:styleId="16">
    <w:name w:val="标题 1 字符"/>
    <w:link w:val="2"/>
    <w:qFormat/>
    <w:locked/>
    <w:uiPriority w:val="0"/>
    <w:rPr>
      <w:rFonts w:eastAsia="宋体"/>
      <w:b/>
      <w:bCs/>
      <w:kern w:val="44"/>
      <w:sz w:val="44"/>
      <w:szCs w:val="44"/>
      <w:lang w:val="en-US" w:eastAsia="zh-CN" w:bidi="ar-SA"/>
    </w:rPr>
  </w:style>
  <w:style w:type="character" w:customStyle="1" w:styleId="17">
    <w:name w:val="标题 2 字符"/>
    <w:link w:val="3"/>
    <w:semiHidden/>
    <w:qFormat/>
    <w:locked/>
    <w:uiPriority w:val="0"/>
    <w:rPr>
      <w:rFonts w:ascii="Arial" w:hAnsi="Arial" w:eastAsia="黑体"/>
      <w:b/>
      <w:bCs/>
      <w:kern w:val="2"/>
      <w:sz w:val="32"/>
      <w:szCs w:val="32"/>
      <w:lang w:val="en-US" w:eastAsia="zh-CN" w:bidi="ar-SA"/>
    </w:rPr>
  </w:style>
  <w:style w:type="character" w:customStyle="1" w:styleId="18">
    <w:name w:val="批注文字 字符"/>
    <w:link w:val="4"/>
    <w:qFormat/>
    <w:uiPriority w:val="0"/>
    <w:rPr>
      <w:kern w:val="2"/>
      <w:sz w:val="21"/>
      <w:szCs w:val="24"/>
    </w:rPr>
  </w:style>
  <w:style w:type="character" w:customStyle="1" w:styleId="19">
    <w:name w:val="正文文本缩进 2 字符"/>
    <w:link w:val="5"/>
    <w:semiHidden/>
    <w:qFormat/>
    <w:locked/>
    <w:uiPriority w:val="0"/>
    <w:rPr>
      <w:rFonts w:ascii="宋体" w:hAnsi="宋体" w:eastAsia="宋体"/>
      <w:kern w:val="2"/>
      <w:sz w:val="21"/>
      <w:lang w:val="en-US" w:eastAsia="zh-CN" w:bidi="ar-SA"/>
    </w:rPr>
  </w:style>
  <w:style w:type="character" w:customStyle="1" w:styleId="20">
    <w:name w:val="批注框文本 字符"/>
    <w:link w:val="6"/>
    <w:qFormat/>
    <w:uiPriority w:val="0"/>
    <w:rPr>
      <w:kern w:val="2"/>
      <w:sz w:val="18"/>
      <w:szCs w:val="18"/>
    </w:rPr>
  </w:style>
  <w:style w:type="character" w:customStyle="1" w:styleId="21">
    <w:name w:val="批注主题 字符"/>
    <w:link w:val="11"/>
    <w:qFormat/>
    <w:uiPriority w:val="0"/>
    <w:rPr>
      <w:b/>
      <w:bCs/>
      <w:kern w:val="2"/>
      <w:sz w:val="21"/>
      <w:szCs w:val="24"/>
    </w:rPr>
  </w:style>
  <w:style w:type="character" w:customStyle="1" w:styleId="22">
    <w:name w:val="无间隔 字符1"/>
    <w:link w:val="23"/>
    <w:qFormat/>
    <w:uiPriority w:val="0"/>
    <w:rPr>
      <w:rFonts w:eastAsia="Times New Roman"/>
      <w:kern w:val="2"/>
      <w:sz w:val="21"/>
      <w:szCs w:val="24"/>
      <w:lang w:val="en-US" w:eastAsia="zh-CN" w:bidi="ar-SA"/>
    </w:rPr>
  </w:style>
  <w:style w:type="paragraph" w:styleId="23">
    <w:name w:val="No Spacing"/>
    <w:link w:val="22"/>
    <w:qFormat/>
    <w:uiPriority w:val="1"/>
    <w:pPr>
      <w:widowControl w:val="0"/>
      <w:jc w:val="both"/>
    </w:pPr>
    <w:rPr>
      <w:rFonts w:ascii="Times New Roman" w:hAnsi="Times New Roman" w:eastAsia="Times New Roman" w:cs="Times New Roman"/>
      <w:kern w:val="2"/>
      <w:sz w:val="21"/>
      <w:szCs w:val="24"/>
      <w:lang w:val="en-US" w:eastAsia="zh-CN" w:bidi="ar-SA"/>
    </w:rPr>
  </w:style>
  <w:style w:type="character" w:customStyle="1" w:styleId="24">
    <w:name w:val="Char Char8"/>
    <w:qFormat/>
    <w:uiPriority w:val="0"/>
    <w:rPr>
      <w:b/>
      <w:bCs/>
      <w:kern w:val="44"/>
      <w:sz w:val="44"/>
      <w:szCs w:val="44"/>
    </w:rPr>
  </w:style>
  <w:style w:type="character" w:customStyle="1" w:styleId="25">
    <w:name w:val="apple-converted-space"/>
    <w:qFormat/>
    <w:uiPriority w:val="0"/>
  </w:style>
  <w:style w:type="character" w:customStyle="1" w:styleId="26">
    <w:name w:val="无间隔 字符"/>
    <w:qFormat/>
    <w:uiPriority w:val="1"/>
    <w:rPr>
      <w:rFonts w:ascii="Calibri" w:hAnsi="Calibri" w:eastAsia="宋体" w:cs="Times New Roman"/>
      <w:kern w:val="0"/>
      <w:sz w:val="22"/>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msolistparagraph"/>
    <w:basedOn w:val="1"/>
    <w:qFormat/>
    <w:uiPriority w:val="0"/>
    <w:pPr>
      <w:ind w:firstLine="420" w:firstLineChars="200"/>
    </w:pPr>
  </w:style>
  <w:style w:type="paragraph" w:customStyle="1" w:styleId="30">
    <w:name w:val="_Style 3"/>
    <w:basedOn w:val="1"/>
    <w:qFormat/>
    <w:uiPriority w:val="0"/>
    <w:pPr>
      <w:ind w:firstLine="420" w:firstLineChars="200"/>
    </w:pPr>
    <w:rPr>
      <w:szCs w:val="21"/>
    </w:rPr>
  </w:style>
  <w:style w:type="paragraph" w:styleId="31">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1880</Words>
  <Characters>10719</Characters>
  <Lines>89</Lines>
  <Paragraphs>25</Paragraphs>
  <TotalTime>84</TotalTime>
  <ScaleCrop>false</ScaleCrop>
  <LinksUpToDate>false</LinksUpToDate>
  <CharactersWithSpaces>12574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2024-12-24T07:51:00Z</dcterms:created>
  <dc:creator>微软用户</dc:creator>
  <cp:lastModifiedBy>三埔之叶</cp:lastModifiedBy>
  <cp:lastPrinted>2024-06-13T09:20:00Z</cp:lastPrinted>
  <dcterms:modified xsi:type="dcterms:W3CDTF">2025-02-21T01:53:46Z</dcterms:modified>
  <dc:title>厦门大学嘉庚学院服务器、电脑采购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FD5E43B03A08495CA485344B377E79D2_13</vt:lpwstr>
  </property>
</Properties>
</file>