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36"/>
        </w:rPr>
      </w:pPr>
      <w:r>
        <w:rPr>
          <w:rFonts w:hint="eastAsia"/>
          <w:kern w:val="36"/>
        </w:rPr>
        <w:t>厦门大学嘉庚学院询价函</w:t>
      </w:r>
    </w:p>
    <w:p>
      <w:pPr>
        <w:spacing w:line="360" w:lineRule="auto"/>
        <w:rPr>
          <w:rFonts w:hint="eastAsia"/>
          <w:sz w:val="24"/>
        </w:rPr>
      </w:pPr>
    </w:p>
    <w:p>
      <w:pPr>
        <w:spacing w:line="360" w:lineRule="auto"/>
        <w:ind w:left="0" w:leftChars="-95" w:hanging="199" w:hangingChars="83"/>
        <w:jc w:val="left"/>
        <w:rPr>
          <w:rFonts w:hint="eastAsia"/>
          <w:sz w:val="24"/>
        </w:rPr>
      </w:pPr>
      <w:r>
        <w:rPr>
          <w:rFonts w:hint="eastAsia"/>
          <w:sz w:val="24"/>
        </w:rPr>
        <w:t>报价单位：</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（加盖公章）</w:t>
      </w:r>
    </w:p>
    <w:p>
      <w:pPr>
        <w:widowControl/>
        <w:wordWrap w:val="0"/>
        <w:spacing w:line="360" w:lineRule="auto"/>
        <w:ind w:left="0" w:leftChars="-95" w:hanging="199" w:hangingChars="83"/>
        <w:jc w:val="left"/>
        <w:rPr>
          <w:rFonts w:hint="eastAsia" w:ascii="宋体" w:hAnsi="宋体" w:eastAsia="宋体" w:cs="宋体"/>
          <w:kern w:val="0"/>
          <w:sz w:val="24"/>
          <w:lang w:val="en-US" w:eastAsia="zh-CN"/>
        </w:rPr>
      </w:pPr>
      <w:r>
        <w:rPr>
          <w:rFonts w:hint="eastAsia"/>
          <w:sz w:val="24"/>
        </w:rPr>
        <w:t>采购项目：</w:t>
      </w:r>
      <w:r>
        <w:rPr>
          <w:rFonts w:hint="eastAsia"/>
          <w:sz w:val="24"/>
          <w:lang w:val="en-US" w:eastAsia="zh-CN"/>
        </w:rPr>
        <w:t>2019年消控系统维保</w:t>
      </w:r>
    </w:p>
    <w:p>
      <w:pPr>
        <w:spacing w:line="360" w:lineRule="auto"/>
        <w:ind w:left="0" w:leftChars="-95" w:hanging="199" w:hangingChars="83"/>
        <w:jc w:val="left"/>
        <w:rPr>
          <w:rFonts w:hint="eastAsia"/>
          <w:sz w:val="24"/>
        </w:rPr>
      </w:pPr>
      <w:r>
        <w:rPr>
          <w:rFonts w:hint="eastAsia"/>
          <w:sz w:val="24"/>
        </w:rPr>
        <w:t>询价单位：厦门大学嘉庚学院</w:t>
      </w:r>
    </w:p>
    <w:p>
      <w:pPr>
        <w:spacing w:line="360" w:lineRule="auto"/>
        <w:ind w:left="0" w:leftChars="-95" w:hanging="199" w:hangingChars="83"/>
        <w:jc w:val="left"/>
        <w:rPr>
          <w:rFonts w:hint="eastAsia"/>
          <w:sz w:val="24"/>
        </w:rPr>
      </w:pPr>
      <w:r>
        <w:rPr>
          <w:rFonts w:hint="eastAsia"/>
          <w:sz w:val="24"/>
        </w:rPr>
        <w:t xml:space="preserve">联系人：  </w:t>
      </w:r>
      <w:r>
        <w:rPr>
          <w:rFonts w:hint="eastAsia"/>
          <w:sz w:val="24"/>
          <w:lang w:val="en-US" w:eastAsia="zh-CN"/>
        </w:rPr>
        <w:t>程老师、蒋老师</w:t>
      </w:r>
      <w:r>
        <w:rPr>
          <w:rFonts w:hint="eastAsia"/>
          <w:sz w:val="24"/>
        </w:rPr>
        <w:t xml:space="preserve"> </w:t>
      </w:r>
    </w:p>
    <w:p>
      <w:pPr>
        <w:spacing w:line="360" w:lineRule="auto"/>
        <w:ind w:left="0" w:leftChars="-95" w:hanging="199" w:hangingChars="83"/>
        <w:jc w:val="left"/>
        <w:rPr>
          <w:rFonts w:hint="eastAsia"/>
          <w:sz w:val="24"/>
        </w:rPr>
      </w:pPr>
      <w:r>
        <w:rPr>
          <w:rFonts w:hint="eastAsia"/>
          <w:sz w:val="24"/>
        </w:rPr>
        <w:t xml:space="preserve">联系方式：电话：0596—6288524 </w:t>
      </w:r>
    </w:p>
    <w:p>
      <w:pPr>
        <w:widowControl/>
        <w:numPr>
          <w:ilvl w:val="0"/>
          <w:numId w:val="1"/>
        </w:numPr>
        <w:wordWrap w:val="0"/>
        <w:spacing w:line="360" w:lineRule="auto"/>
        <w:jc w:val="left"/>
        <w:rPr>
          <w:rFonts w:cs="宋体"/>
          <w:b/>
          <w:kern w:val="0"/>
          <w:sz w:val="24"/>
        </w:rPr>
      </w:pPr>
      <w:r>
        <w:rPr>
          <w:rFonts w:hint="eastAsia" w:cs="宋体"/>
          <w:b/>
          <w:kern w:val="0"/>
          <w:sz w:val="24"/>
          <w:lang w:eastAsia="zh-CN"/>
        </w:rPr>
        <w:t>报价明细</w:t>
      </w:r>
    </w:p>
    <w:p>
      <w:pPr>
        <w:numPr>
          <w:ilvl w:val="0"/>
          <w:numId w:val="2"/>
        </w:numPr>
        <w:spacing w:line="500" w:lineRule="exact"/>
        <w:ind w:left="425" w:leftChars="0" w:hanging="425" w:firstLineChars="0"/>
        <w:rPr>
          <w:rFonts w:cs="宋体"/>
          <w:b/>
          <w:kern w:val="0"/>
          <w:sz w:val="24"/>
        </w:rPr>
      </w:pPr>
      <w:r>
        <w:rPr>
          <w:rFonts w:hint="eastAsia" w:cs="宋体"/>
          <w:b/>
          <w:kern w:val="0"/>
          <w:sz w:val="24"/>
          <w:lang w:eastAsia="zh-CN"/>
        </w:rPr>
        <w:t>维保报价</w:t>
      </w:r>
    </w:p>
    <w:tbl>
      <w:tblPr>
        <w:tblStyle w:val="12"/>
        <w:tblW w:w="9756" w:type="dxa"/>
        <w:jc w:val="center"/>
        <w:tblInd w:w="0" w:type="dxa"/>
        <w:tblLayout w:type="fixed"/>
        <w:tblCellMar>
          <w:top w:w="0" w:type="dxa"/>
          <w:left w:w="108" w:type="dxa"/>
          <w:bottom w:w="0" w:type="dxa"/>
          <w:right w:w="108" w:type="dxa"/>
        </w:tblCellMar>
      </w:tblPr>
      <w:tblGrid>
        <w:gridCol w:w="680"/>
        <w:gridCol w:w="3856"/>
        <w:gridCol w:w="2410"/>
        <w:gridCol w:w="2810"/>
      </w:tblGrid>
      <w:tr>
        <w:tblPrEx>
          <w:tblLayout w:type="fixed"/>
          <w:tblCellMar>
            <w:top w:w="0" w:type="dxa"/>
            <w:left w:w="108" w:type="dxa"/>
            <w:bottom w:w="0" w:type="dxa"/>
            <w:right w:w="108" w:type="dxa"/>
          </w:tblCellMar>
        </w:tblPrEx>
        <w:trPr>
          <w:trHeight w:val="656"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序号</w:t>
            </w:r>
          </w:p>
        </w:tc>
        <w:tc>
          <w:tcPr>
            <w:tcW w:w="3856"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项目名称</w:t>
            </w:r>
          </w:p>
        </w:tc>
        <w:tc>
          <w:tcPr>
            <w:tcW w:w="2410"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报价（元/年）</w:t>
            </w:r>
          </w:p>
        </w:tc>
        <w:tc>
          <w:tcPr>
            <w:tcW w:w="2810"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备 注</w:t>
            </w: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r>
              <w:rPr>
                <w:rFonts w:hint="eastAsia" w:ascii="宋体" w:hAnsi="宋体" w:cs="宋体"/>
                <w:kern w:val="0"/>
                <w:sz w:val="24"/>
              </w:rPr>
              <w:t>1</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rPr>
              <w:t>北区食堂</w:t>
            </w:r>
            <w:r>
              <w:rPr>
                <w:rFonts w:hint="eastAsia" w:ascii="宋体" w:hAnsi="宋体" w:cs="宋体"/>
                <w:kern w:val="0"/>
                <w:sz w:val="24"/>
                <w:lang w:eastAsia="zh-CN"/>
              </w:rPr>
              <w:t>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val="en-US" w:eastAsia="zh-CN"/>
              </w:rPr>
            </w:pPr>
            <w:r>
              <w:rPr>
                <w:rFonts w:hint="eastAsia" w:ascii="宋体" w:hAnsi="宋体" w:cs="宋体"/>
                <w:kern w:val="0"/>
                <w:sz w:val="24"/>
                <w:lang w:eastAsia="zh-CN"/>
              </w:rPr>
              <w:t>凌云</w:t>
            </w:r>
            <w:r>
              <w:rPr>
                <w:rFonts w:hint="eastAsia" w:ascii="宋体" w:hAnsi="宋体" w:cs="宋体"/>
                <w:kern w:val="0"/>
                <w:sz w:val="24"/>
                <w:lang w:val="en-US" w:eastAsia="zh-CN"/>
              </w:rPr>
              <w:t>1-3号楼消控系统</w:t>
            </w:r>
            <w:r>
              <w:rPr>
                <w:rFonts w:hint="eastAsia" w:ascii="宋体" w:hAnsi="宋体" w:cs="宋体"/>
                <w:kern w:val="0"/>
                <w:sz w:val="24"/>
                <w:lang w:eastAsia="zh-CN"/>
              </w:rPr>
              <w:t>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lang w:eastAsia="zh-CN"/>
              </w:rPr>
              <w:t>南区食堂消控系统维保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rPr>
              <w:t>敬贤教师公寓</w:t>
            </w:r>
            <w:r>
              <w:rPr>
                <w:rFonts w:hint="eastAsia" w:ascii="宋体" w:hAnsi="宋体" w:cs="宋体"/>
                <w:kern w:val="0"/>
                <w:sz w:val="24"/>
                <w:lang w:eastAsia="zh-CN"/>
              </w:rPr>
              <w:t>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5</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cs="宋体"/>
                <w:kern w:val="0"/>
                <w:sz w:val="24"/>
              </w:rPr>
            </w:pPr>
            <w:r>
              <w:rPr>
                <w:rFonts w:hint="eastAsia" w:ascii="宋体" w:hAnsi="宋体" w:cs="宋体"/>
                <w:kern w:val="0"/>
                <w:sz w:val="24"/>
              </w:rPr>
              <w:t>主5#校区网络机房</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cs="宋体"/>
                <w:kern w:val="0"/>
                <w:sz w:val="24"/>
              </w:rPr>
            </w:pPr>
            <w:r>
              <w:rPr>
                <w:rFonts w:hint="eastAsia" w:ascii="宋体" w:hAnsi="宋体" w:cs="宋体"/>
                <w:kern w:val="0"/>
                <w:sz w:val="24"/>
              </w:rPr>
              <w:t>生化楼群和理工楼</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5" w:leftChars="-55" w:hanging="120" w:hangingChars="50"/>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bCs/>
                <w:kern w:val="0"/>
                <w:sz w:val="24"/>
              </w:rPr>
            </w:pPr>
            <w:r>
              <w:rPr>
                <w:rFonts w:hint="eastAsia" w:ascii="宋体" w:hAnsi="宋体" w:cs="宋体"/>
                <w:b/>
                <w:bCs/>
                <w:kern w:val="0"/>
                <w:sz w:val="24"/>
              </w:rPr>
              <w:t>总报价：</w:t>
            </w:r>
          </w:p>
        </w:tc>
        <w:tc>
          <w:tcPr>
            <w:tcW w:w="5220" w:type="dxa"/>
            <w:gridSpan w:val="2"/>
            <w:tcBorders>
              <w:top w:val="single" w:color="auto" w:sz="4" w:space="0"/>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bl>
    <w:p>
      <w:pPr>
        <w:widowControl/>
        <w:numPr>
          <w:ilvl w:val="0"/>
          <w:numId w:val="2"/>
        </w:numPr>
        <w:wordWrap w:val="0"/>
        <w:spacing w:line="360" w:lineRule="auto"/>
        <w:ind w:left="425" w:leftChars="0" w:hanging="425" w:firstLineChars="0"/>
        <w:jc w:val="left"/>
        <w:rPr>
          <w:rFonts w:hint="eastAsia" w:cs="宋体"/>
          <w:b/>
          <w:kern w:val="0"/>
          <w:sz w:val="24"/>
          <w:lang w:val="en-US" w:eastAsia="zh-CN"/>
        </w:rPr>
      </w:pPr>
      <w:r>
        <w:rPr>
          <w:rFonts w:hint="eastAsia" w:cs="宋体"/>
          <w:b/>
          <w:kern w:val="0"/>
          <w:sz w:val="24"/>
          <w:lang w:val="en-US" w:eastAsia="zh-CN"/>
        </w:rPr>
        <w:t>配件报价：</w:t>
      </w:r>
    </w:p>
    <w:tbl>
      <w:tblPr>
        <w:tblStyle w:val="12"/>
        <w:tblW w:w="97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5"/>
        <w:gridCol w:w="1955"/>
        <w:gridCol w:w="1956"/>
        <w:gridCol w:w="1956"/>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b/>
                <w:bCs/>
                <w:sz w:val="24"/>
              </w:rPr>
            </w:pPr>
            <w:r>
              <w:rPr>
                <w:rFonts w:hint="eastAsia"/>
                <w:b/>
                <w:bCs/>
                <w:sz w:val="24"/>
              </w:rPr>
              <w:t>序号</w:t>
            </w:r>
          </w:p>
        </w:tc>
        <w:tc>
          <w:tcPr>
            <w:tcW w:w="1955" w:type="dxa"/>
            <w:noWrap w:val="0"/>
            <w:vAlign w:val="top"/>
          </w:tcPr>
          <w:p>
            <w:pPr>
              <w:jc w:val="center"/>
              <w:rPr>
                <w:rFonts w:hint="eastAsia"/>
                <w:b/>
                <w:bCs/>
                <w:sz w:val="24"/>
              </w:rPr>
            </w:pPr>
            <w:r>
              <w:rPr>
                <w:rFonts w:hint="eastAsia"/>
                <w:b/>
                <w:bCs/>
                <w:sz w:val="24"/>
              </w:rPr>
              <w:t>配件名称</w:t>
            </w:r>
          </w:p>
        </w:tc>
        <w:tc>
          <w:tcPr>
            <w:tcW w:w="1956" w:type="dxa"/>
            <w:noWrap w:val="0"/>
            <w:vAlign w:val="top"/>
          </w:tcPr>
          <w:p>
            <w:pPr>
              <w:jc w:val="center"/>
              <w:rPr>
                <w:rFonts w:hint="eastAsia"/>
                <w:b/>
                <w:bCs/>
                <w:sz w:val="24"/>
              </w:rPr>
            </w:pPr>
            <w:r>
              <w:rPr>
                <w:rFonts w:hint="eastAsia"/>
                <w:b/>
                <w:bCs/>
                <w:sz w:val="24"/>
              </w:rPr>
              <w:t>品牌</w:t>
            </w:r>
          </w:p>
        </w:tc>
        <w:tc>
          <w:tcPr>
            <w:tcW w:w="1956" w:type="dxa"/>
            <w:noWrap w:val="0"/>
            <w:vAlign w:val="top"/>
          </w:tcPr>
          <w:p>
            <w:pPr>
              <w:jc w:val="center"/>
              <w:rPr>
                <w:rFonts w:hint="eastAsia"/>
                <w:b/>
                <w:bCs/>
                <w:sz w:val="24"/>
              </w:rPr>
            </w:pPr>
            <w:r>
              <w:rPr>
                <w:rFonts w:hint="eastAsia"/>
                <w:b/>
                <w:bCs/>
                <w:sz w:val="24"/>
              </w:rPr>
              <w:t>单价(元/个)</w:t>
            </w:r>
          </w:p>
        </w:tc>
        <w:tc>
          <w:tcPr>
            <w:tcW w:w="1956" w:type="dxa"/>
            <w:noWrap w:val="0"/>
            <w:vAlign w:val="top"/>
          </w:tcPr>
          <w:p>
            <w:pPr>
              <w:jc w:val="center"/>
              <w:rPr>
                <w:rFonts w:hint="eastAsia" w:eastAsia="宋体"/>
                <w:b/>
                <w:bCs/>
                <w:sz w:val="24"/>
                <w:lang w:eastAsia="zh-CN"/>
              </w:rPr>
            </w:pPr>
            <w:r>
              <w:rPr>
                <w:rFonts w:hint="eastAsia"/>
                <w:b/>
                <w:bCs/>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1</w:t>
            </w:r>
          </w:p>
        </w:tc>
        <w:tc>
          <w:tcPr>
            <w:tcW w:w="1955" w:type="dxa"/>
            <w:noWrap w:val="0"/>
            <w:vAlign w:val="top"/>
          </w:tcPr>
          <w:p>
            <w:pPr>
              <w:jc w:val="center"/>
              <w:rPr>
                <w:rFonts w:hint="eastAsia"/>
                <w:sz w:val="24"/>
              </w:rPr>
            </w:pPr>
            <w:r>
              <w:rPr>
                <w:rFonts w:hint="eastAsia"/>
                <w:sz w:val="24"/>
              </w:rPr>
              <w:t>烟感</w:t>
            </w:r>
          </w:p>
        </w:tc>
        <w:tc>
          <w:tcPr>
            <w:tcW w:w="1956" w:type="dxa"/>
            <w:noWrap w:val="0"/>
            <w:vAlign w:val="top"/>
          </w:tcPr>
          <w:p>
            <w:pPr>
              <w:jc w:val="center"/>
              <w:rPr>
                <w:rFonts w:hint="eastAsia" w:eastAsia="宋体"/>
                <w:sz w:val="24"/>
                <w:lang w:eastAsia="zh-CN"/>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2</w:t>
            </w:r>
          </w:p>
        </w:tc>
        <w:tc>
          <w:tcPr>
            <w:tcW w:w="1955" w:type="dxa"/>
            <w:noWrap w:val="0"/>
            <w:vAlign w:val="top"/>
          </w:tcPr>
          <w:p>
            <w:pPr>
              <w:jc w:val="center"/>
              <w:rPr>
                <w:rFonts w:hint="eastAsia"/>
                <w:sz w:val="24"/>
              </w:rPr>
            </w:pPr>
            <w:r>
              <w:rPr>
                <w:rFonts w:hint="eastAsia"/>
                <w:sz w:val="24"/>
              </w:rPr>
              <w:t>手报</w:t>
            </w:r>
          </w:p>
        </w:tc>
        <w:tc>
          <w:tcPr>
            <w:tcW w:w="1956" w:type="dxa"/>
            <w:noWrap w:val="0"/>
            <w:vAlign w:val="top"/>
          </w:tcPr>
          <w:p>
            <w:pPr>
              <w:jc w:val="center"/>
              <w:rPr>
                <w:rFonts w:hint="eastAsia" w:eastAsia="宋体"/>
                <w:sz w:val="24"/>
                <w:lang w:eastAsia="zh-CN"/>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3</w:t>
            </w:r>
          </w:p>
        </w:tc>
        <w:tc>
          <w:tcPr>
            <w:tcW w:w="1955" w:type="dxa"/>
            <w:noWrap w:val="0"/>
            <w:vAlign w:val="top"/>
          </w:tcPr>
          <w:p>
            <w:pPr>
              <w:jc w:val="center"/>
              <w:rPr>
                <w:rFonts w:hint="eastAsia"/>
                <w:sz w:val="24"/>
              </w:rPr>
            </w:pPr>
            <w:r>
              <w:rPr>
                <w:rFonts w:hint="eastAsia"/>
                <w:sz w:val="24"/>
              </w:rPr>
              <w:t>主机状态板</w:t>
            </w:r>
          </w:p>
        </w:tc>
        <w:tc>
          <w:tcPr>
            <w:tcW w:w="1956" w:type="dxa"/>
            <w:noWrap w:val="0"/>
            <w:vAlign w:val="top"/>
          </w:tcPr>
          <w:p>
            <w:pPr>
              <w:jc w:val="center"/>
              <w:rPr>
                <w:rFonts w:hint="eastAsia"/>
                <w:sz w:val="24"/>
              </w:rPr>
            </w:pPr>
            <w:r>
              <w:rPr>
                <w:rFonts w:hint="eastAsia"/>
                <w:sz w:val="24"/>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4</w:t>
            </w:r>
          </w:p>
        </w:tc>
        <w:tc>
          <w:tcPr>
            <w:tcW w:w="1955" w:type="dxa"/>
            <w:noWrap w:val="0"/>
            <w:vAlign w:val="top"/>
          </w:tcPr>
          <w:p>
            <w:pPr>
              <w:jc w:val="center"/>
              <w:rPr>
                <w:rFonts w:hint="eastAsia"/>
                <w:sz w:val="24"/>
              </w:rPr>
            </w:pPr>
            <w:r>
              <w:rPr>
                <w:rFonts w:hint="eastAsia"/>
                <w:sz w:val="24"/>
              </w:rPr>
              <w:t>主机回路板</w:t>
            </w:r>
          </w:p>
        </w:tc>
        <w:tc>
          <w:tcPr>
            <w:tcW w:w="1956" w:type="dxa"/>
            <w:noWrap w:val="0"/>
            <w:vAlign w:val="top"/>
          </w:tcPr>
          <w:p>
            <w:pPr>
              <w:jc w:val="center"/>
              <w:rPr>
                <w:rFonts w:hint="eastAsia"/>
                <w:sz w:val="24"/>
              </w:rPr>
            </w:pPr>
            <w:r>
              <w:rPr>
                <w:rFonts w:hint="eastAsia"/>
                <w:sz w:val="24"/>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5</w:t>
            </w:r>
          </w:p>
        </w:tc>
        <w:tc>
          <w:tcPr>
            <w:tcW w:w="1955" w:type="dxa"/>
            <w:noWrap w:val="0"/>
            <w:vAlign w:val="top"/>
          </w:tcPr>
          <w:p>
            <w:pPr>
              <w:jc w:val="center"/>
              <w:rPr>
                <w:rFonts w:hint="eastAsia" w:eastAsia="宋体"/>
                <w:sz w:val="24"/>
                <w:lang w:eastAsia="zh-CN"/>
              </w:rPr>
            </w:pPr>
            <w:r>
              <w:rPr>
                <w:rFonts w:hint="eastAsia"/>
                <w:sz w:val="24"/>
                <w:lang w:eastAsia="zh-CN"/>
              </w:rPr>
              <w:t>主机双回路板</w:t>
            </w:r>
          </w:p>
        </w:tc>
        <w:tc>
          <w:tcPr>
            <w:tcW w:w="1956" w:type="dxa"/>
            <w:noWrap w:val="0"/>
            <w:vAlign w:val="top"/>
          </w:tcPr>
          <w:p>
            <w:pPr>
              <w:jc w:val="center"/>
              <w:rPr>
                <w:rFonts w:hint="eastAsia" w:eastAsia="宋体"/>
                <w:sz w:val="24"/>
                <w:lang w:eastAsia="zh-CN"/>
              </w:rPr>
            </w:pPr>
            <w:r>
              <w:rPr>
                <w:rFonts w:hint="eastAsia"/>
                <w:sz w:val="24"/>
                <w:lang w:eastAsia="zh-CN"/>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6</w:t>
            </w:r>
          </w:p>
        </w:tc>
        <w:tc>
          <w:tcPr>
            <w:tcW w:w="1955" w:type="dxa"/>
            <w:noWrap w:val="0"/>
            <w:vAlign w:val="top"/>
          </w:tcPr>
          <w:p>
            <w:pPr>
              <w:jc w:val="center"/>
              <w:rPr>
                <w:rFonts w:hint="eastAsia"/>
                <w:sz w:val="24"/>
              </w:rPr>
            </w:pPr>
            <w:r>
              <w:rPr>
                <w:rFonts w:hint="eastAsia"/>
                <w:sz w:val="24"/>
              </w:rPr>
              <w:t>卷帘门电机</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7</w:t>
            </w:r>
          </w:p>
        </w:tc>
        <w:tc>
          <w:tcPr>
            <w:tcW w:w="1955" w:type="dxa"/>
            <w:noWrap w:val="0"/>
            <w:vAlign w:val="top"/>
          </w:tcPr>
          <w:p>
            <w:pPr>
              <w:jc w:val="center"/>
              <w:rPr>
                <w:rFonts w:hint="eastAsia"/>
                <w:sz w:val="24"/>
              </w:rPr>
            </w:pPr>
            <w:r>
              <w:rPr>
                <w:rFonts w:hint="eastAsia"/>
                <w:sz w:val="24"/>
              </w:rPr>
              <w:t>卷帘门控制箱</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8</w:t>
            </w:r>
          </w:p>
        </w:tc>
        <w:tc>
          <w:tcPr>
            <w:tcW w:w="1955" w:type="dxa"/>
            <w:noWrap w:val="0"/>
            <w:vAlign w:val="top"/>
          </w:tcPr>
          <w:p>
            <w:pPr>
              <w:jc w:val="center"/>
              <w:rPr>
                <w:rFonts w:hint="eastAsia"/>
                <w:sz w:val="24"/>
              </w:rPr>
            </w:pPr>
            <w:r>
              <w:rPr>
                <w:rFonts w:hint="eastAsia"/>
                <w:sz w:val="24"/>
              </w:rPr>
              <w:t>卷帘门控制箱（无蓄电池）</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955" w:type="dxa"/>
            <w:noWrap w:val="0"/>
            <w:vAlign w:val="top"/>
          </w:tcPr>
          <w:p>
            <w:pPr>
              <w:jc w:val="center"/>
              <w:rPr>
                <w:rFonts w:hint="eastAsia" w:eastAsia="宋体"/>
                <w:sz w:val="24"/>
                <w:lang w:eastAsia="zh-CN"/>
              </w:rPr>
            </w:pPr>
            <w:r>
              <w:rPr>
                <w:rFonts w:hint="eastAsia"/>
                <w:sz w:val="24"/>
                <w:lang w:val="en-US" w:eastAsia="zh-CN"/>
              </w:rPr>
              <w:t>9</w:t>
            </w:r>
          </w:p>
        </w:tc>
        <w:tc>
          <w:tcPr>
            <w:tcW w:w="1955" w:type="dxa"/>
            <w:noWrap w:val="0"/>
            <w:vAlign w:val="top"/>
          </w:tcPr>
          <w:p>
            <w:pPr>
              <w:jc w:val="center"/>
              <w:rPr>
                <w:rFonts w:hint="eastAsia"/>
                <w:sz w:val="24"/>
              </w:rPr>
            </w:pPr>
            <w:r>
              <w:rPr>
                <w:rFonts w:hint="eastAsia"/>
                <w:sz w:val="24"/>
              </w:rPr>
              <w:t>消火栓按钮</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10</w:t>
            </w:r>
          </w:p>
        </w:tc>
        <w:tc>
          <w:tcPr>
            <w:tcW w:w="1955" w:type="dxa"/>
            <w:noWrap w:val="0"/>
            <w:vAlign w:val="top"/>
          </w:tcPr>
          <w:p>
            <w:pPr>
              <w:jc w:val="center"/>
              <w:rPr>
                <w:rFonts w:hint="eastAsia"/>
                <w:sz w:val="24"/>
              </w:rPr>
            </w:pPr>
            <w:r>
              <w:rPr>
                <w:rFonts w:hint="eastAsia"/>
                <w:sz w:val="24"/>
              </w:rPr>
              <w:t>单输入模块</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11</w:t>
            </w:r>
          </w:p>
        </w:tc>
        <w:tc>
          <w:tcPr>
            <w:tcW w:w="1955" w:type="dxa"/>
            <w:noWrap w:val="0"/>
            <w:vAlign w:val="top"/>
          </w:tcPr>
          <w:p>
            <w:pPr>
              <w:jc w:val="center"/>
              <w:rPr>
                <w:rFonts w:hint="eastAsia"/>
                <w:sz w:val="24"/>
              </w:rPr>
            </w:pPr>
            <w:r>
              <w:rPr>
                <w:rFonts w:hint="eastAsia"/>
                <w:sz w:val="24"/>
              </w:rPr>
              <w:t>输入/输出模块</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12</w:t>
            </w:r>
          </w:p>
        </w:tc>
        <w:tc>
          <w:tcPr>
            <w:tcW w:w="1955" w:type="dxa"/>
            <w:noWrap w:val="0"/>
            <w:vAlign w:val="top"/>
          </w:tcPr>
          <w:p>
            <w:pPr>
              <w:jc w:val="center"/>
              <w:rPr>
                <w:rFonts w:hint="eastAsia"/>
                <w:sz w:val="24"/>
              </w:rPr>
            </w:pPr>
            <w:r>
              <w:rPr>
                <w:rFonts w:hint="eastAsia"/>
                <w:sz w:val="24"/>
              </w:rPr>
              <w:t>消防警铃</w:t>
            </w:r>
          </w:p>
        </w:tc>
        <w:tc>
          <w:tcPr>
            <w:tcW w:w="1956" w:type="dxa"/>
            <w:noWrap w:val="0"/>
            <w:vAlign w:val="top"/>
          </w:tcPr>
          <w:p>
            <w:pPr>
              <w:jc w:val="center"/>
              <w:rPr>
                <w:rFonts w:hint="eastAsia"/>
                <w:sz w:val="24"/>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lang w:val="en-US" w:eastAsia="zh-CN"/>
              </w:rPr>
            </w:pPr>
            <w:r>
              <w:rPr>
                <w:rFonts w:hint="eastAsia"/>
                <w:sz w:val="24"/>
                <w:lang w:val="en-US" w:eastAsia="zh-CN"/>
              </w:rPr>
              <w:t>13</w:t>
            </w:r>
          </w:p>
        </w:tc>
        <w:tc>
          <w:tcPr>
            <w:tcW w:w="1955" w:type="dxa"/>
            <w:noWrap w:val="0"/>
            <w:vAlign w:val="top"/>
          </w:tcPr>
          <w:p>
            <w:pPr>
              <w:jc w:val="center"/>
              <w:rPr>
                <w:rFonts w:hint="eastAsia" w:eastAsia="宋体"/>
                <w:sz w:val="24"/>
                <w:lang w:eastAsia="zh-CN"/>
              </w:rPr>
            </w:pPr>
            <w:r>
              <w:rPr>
                <w:rFonts w:hint="eastAsia"/>
                <w:sz w:val="24"/>
                <w:lang w:eastAsia="zh-CN"/>
              </w:rPr>
              <w:t>温感</w:t>
            </w:r>
          </w:p>
        </w:tc>
        <w:tc>
          <w:tcPr>
            <w:tcW w:w="1956" w:type="dxa"/>
            <w:noWrap w:val="0"/>
            <w:vAlign w:val="top"/>
          </w:tcPr>
          <w:p>
            <w:pPr>
              <w:jc w:val="center"/>
              <w:rPr>
                <w:rFonts w:hint="eastAsia"/>
                <w:sz w:val="24"/>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bl>
    <w:p>
      <w:pPr>
        <w:widowControl/>
        <w:numPr>
          <w:ilvl w:val="0"/>
          <w:numId w:val="0"/>
        </w:numPr>
        <w:wordWrap w:val="0"/>
        <w:spacing w:line="360" w:lineRule="auto"/>
        <w:ind w:leftChars="0"/>
        <w:jc w:val="left"/>
        <w:rPr>
          <w:rFonts w:hint="eastAsia"/>
          <w:sz w:val="24"/>
        </w:rPr>
      </w:pPr>
      <w:r>
        <w:rPr>
          <w:rFonts w:hint="eastAsia"/>
          <w:sz w:val="24"/>
        </w:rPr>
        <w:t>备注：以上配件价格均为包更换、发票和系统调试的费用。</w:t>
      </w:r>
    </w:p>
    <w:p>
      <w:pPr>
        <w:widowControl/>
        <w:numPr>
          <w:ilvl w:val="0"/>
          <w:numId w:val="2"/>
        </w:numPr>
        <w:wordWrap w:val="0"/>
        <w:spacing w:line="360" w:lineRule="auto"/>
        <w:ind w:left="425" w:leftChars="0" w:hanging="425" w:firstLineChars="0"/>
        <w:jc w:val="left"/>
        <w:rPr>
          <w:rFonts w:hint="eastAsia" w:eastAsia="宋体"/>
          <w:b/>
          <w:bCs/>
          <w:sz w:val="24"/>
          <w:lang w:val="en-US" w:eastAsia="zh-CN"/>
        </w:rPr>
      </w:pPr>
      <w:r>
        <w:rPr>
          <w:rFonts w:hint="eastAsia"/>
          <w:b/>
          <w:bCs/>
          <w:sz w:val="24"/>
          <w:lang w:val="en-US" w:eastAsia="zh-CN"/>
        </w:rPr>
        <w:t>报价单位可以免费提供的配件和材料</w:t>
      </w:r>
    </w:p>
    <w:tbl>
      <w:tblPr>
        <w:tblStyle w:val="12"/>
        <w:tblW w:w="9492" w:type="dxa"/>
        <w:jc w:val="center"/>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36"/>
        <w:gridCol w:w="2130"/>
        <w:gridCol w:w="2131"/>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bCs/>
                <w:sz w:val="24"/>
              </w:rPr>
            </w:pPr>
            <w:r>
              <w:rPr>
                <w:rFonts w:hint="eastAsia"/>
                <w:b/>
                <w:bCs/>
                <w:sz w:val="24"/>
              </w:rPr>
              <w:t>序号</w:t>
            </w:r>
          </w:p>
        </w:tc>
        <w:tc>
          <w:tcPr>
            <w:tcW w:w="2130" w:type="dxa"/>
            <w:noWrap w:val="0"/>
            <w:vAlign w:val="top"/>
          </w:tcPr>
          <w:p>
            <w:pPr>
              <w:jc w:val="center"/>
              <w:rPr>
                <w:rFonts w:hint="eastAsia"/>
                <w:b/>
                <w:bCs/>
                <w:sz w:val="24"/>
              </w:rPr>
            </w:pPr>
            <w:r>
              <w:rPr>
                <w:rFonts w:hint="eastAsia"/>
                <w:b/>
                <w:bCs/>
                <w:sz w:val="24"/>
              </w:rPr>
              <w:t>配件名称</w:t>
            </w:r>
          </w:p>
        </w:tc>
        <w:tc>
          <w:tcPr>
            <w:tcW w:w="2131" w:type="dxa"/>
            <w:noWrap w:val="0"/>
            <w:vAlign w:val="top"/>
          </w:tcPr>
          <w:p>
            <w:pPr>
              <w:jc w:val="center"/>
              <w:rPr>
                <w:rFonts w:hint="eastAsia"/>
                <w:b/>
                <w:bCs/>
                <w:sz w:val="24"/>
              </w:rPr>
            </w:pPr>
            <w:r>
              <w:rPr>
                <w:rFonts w:hint="eastAsia"/>
                <w:b/>
                <w:bCs/>
                <w:sz w:val="24"/>
              </w:rPr>
              <w:t>品牌</w:t>
            </w:r>
          </w:p>
        </w:tc>
        <w:tc>
          <w:tcPr>
            <w:tcW w:w="2495" w:type="dxa"/>
            <w:noWrap w:val="0"/>
            <w:vAlign w:val="top"/>
          </w:tcPr>
          <w:p>
            <w:pPr>
              <w:jc w:val="center"/>
              <w:rPr>
                <w:rFonts w:hint="eastAsia"/>
                <w:b/>
                <w:bCs/>
                <w:sz w:val="24"/>
              </w:rPr>
            </w:pPr>
            <w:r>
              <w:rPr>
                <w:rFonts w:hint="eastAsia"/>
                <w:b/>
                <w:bCs/>
                <w:sz w:val="24"/>
              </w:rPr>
              <w:t>单价(元/个)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rPr>
            </w:pPr>
            <w:r>
              <w:rPr>
                <w:rFonts w:hint="eastAsia"/>
                <w:b w:val="0"/>
                <w:bCs w:val="0"/>
                <w:sz w:val="24"/>
              </w:rPr>
              <w:t>1</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eastAsia="宋体"/>
                <w:b w:val="0"/>
                <w:bCs w:val="0"/>
                <w:sz w:val="24"/>
                <w:lang w:val="en-US" w:eastAsia="zh-CN"/>
              </w:rPr>
            </w:pPr>
            <w:r>
              <w:rPr>
                <w:rFonts w:hint="eastAsia"/>
                <w:b w:val="0"/>
                <w:bCs w:val="0"/>
                <w:sz w:val="24"/>
                <w:lang w:val="en-US" w:eastAsia="zh-CN"/>
              </w:rPr>
              <w:t>2</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3</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4</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5</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6</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7</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8</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9</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10</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11</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12</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13</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14</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15</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16</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bl>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报价要求</w:t>
      </w:r>
    </w:p>
    <w:p>
      <w:pPr>
        <w:numPr>
          <w:ilvl w:val="0"/>
          <w:numId w:val="3"/>
        </w:numPr>
        <w:spacing w:line="500" w:lineRule="exact"/>
        <w:ind w:left="425" w:leftChars="0" w:hanging="425" w:firstLineChars="0"/>
        <w:rPr>
          <w:rFonts w:hint="eastAsia" w:cs="宋体"/>
          <w:b/>
          <w:kern w:val="0"/>
          <w:sz w:val="24"/>
          <w:lang w:eastAsia="zh-CN"/>
        </w:rPr>
      </w:pPr>
      <w:r>
        <w:rPr>
          <w:rFonts w:hint="eastAsia" w:cs="宋体"/>
          <w:b w:val="0"/>
          <w:bCs/>
          <w:kern w:val="0"/>
          <w:sz w:val="24"/>
          <w:lang w:eastAsia="zh-CN"/>
        </w:rPr>
        <w:t>报价需提供公司维保资质文件复印件和维保人员相关证件复印件。</w:t>
      </w:r>
    </w:p>
    <w:p>
      <w:pPr>
        <w:numPr>
          <w:ilvl w:val="0"/>
          <w:numId w:val="3"/>
        </w:numPr>
        <w:spacing w:line="500" w:lineRule="exact"/>
        <w:ind w:left="425" w:leftChars="0" w:hanging="425" w:firstLineChars="0"/>
        <w:rPr>
          <w:rFonts w:hint="eastAsia" w:cs="宋体"/>
          <w:b/>
          <w:kern w:val="0"/>
          <w:sz w:val="24"/>
          <w:lang w:eastAsia="zh-CN"/>
        </w:rPr>
      </w:pPr>
      <w:r>
        <w:rPr>
          <w:rFonts w:hint="eastAsia" w:cs="宋体"/>
          <w:b w:val="0"/>
          <w:bCs/>
          <w:kern w:val="0"/>
          <w:sz w:val="24"/>
          <w:lang w:eastAsia="zh-CN"/>
        </w:rPr>
        <w:t>报价需提供公司现有维保案例。</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报价为开票含税价，包括人员上门服务、安全、发票等一切费用。</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报价方式：201</w:t>
      </w:r>
      <w:r>
        <w:rPr>
          <w:rFonts w:hint="eastAsia" w:cs="宋体"/>
          <w:b w:val="0"/>
          <w:bCs/>
          <w:kern w:val="0"/>
          <w:sz w:val="24"/>
          <w:lang w:val="en-US" w:eastAsia="zh-CN"/>
        </w:rPr>
        <w:t>9</w:t>
      </w:r>
      <w:r>
        <w:rPr>
          <w:rFonts w:hint="eastAsia" w:cs="宋体"/>
          <w:b w:val="0"/>
          <w:bCs/>
          <w:kern w:val="0"/>
          <w:sz w:val="24"/>
          <w:lang w:eastAsia="zh-CN"/>
        </w:rPr>
        <w:t>年</w:t>
      </w:r>
      <w:r>
        <w:rPr>
          <w:rFonts w:hint="eastAsia" w:cs="宋体"/>
          <w:b w:val="0"/>
          <w:bCs/>
          <w:kern w:val="0"/>
          <w:sz w:val="24"/>
          <w:lang w:val="en-US" w:eastAsia="zh-CN"/>
        </w:rPr>
        <w:t>2</w:t>
      </w:r>
      <w:r>
        <w:rPr>
          <w:rFonts w:hint="eastAsia" w:cs="宋体"/>
          <w:b w:val="0"/>
          <w:bCs/>
          <w:kern w:val="0"/>
          <w:sz w:val="24"/>
          <w:lang w:eastAsia="zh-CN"/>
        </w:rPr>
        <w:t>月</w:t>
      </w:r>
      <w:r>
        <w:rPr>
          <w:rFonts w:hint="eastAsia" w:cs="宋体"/>
          <w:b w:val="0"/>
          <w:bCs/>
          <w:kern w:val="0"/>
          <w:sz w:val="24"/>
          <w:lang w:val="en-US" w:eastAsia="zh-CN"/>
        </w:rPr>
        <w:t>22</w:t>
      </w:r>
      <w:r>
        <w:rPr>
          <w:rFonts w:hint="eastAsia" w:cs="宋体"/>
          <w:b w:val="0"/>
          <w:bCs/>
          <w:kern w:val="0"/>
          <w:sz w:val="24"/>
          <w:lang w:eastAsia="zh-CN"/>
        </w:rPr>
        <w:t>日上午</w:t>
      </w:r>
      <w:r>
        <w:rPr>
          <w:rFonts w:hint="eastAsia" w:cs="宋体"/>
          <w:b w:val="0"/>
          <w:bCs/>
          <w:kern w:val="0"/>
          <w:sz w:val="24"/>
          <w:lang w:val="en-US" w:eastAsia="zh-CN"/>
        </w:rPr>
        <w:t>10</w:t>
      </w:r>
      <w:r>
        <w:rPr>
          <w:rFonts w:hint="eastAsia" w:cs="宋体"/>
          <w:b w:val="0"/>
          <w:bCs/>
          <w:kern w:val="0"/>
          <w:sz w:val="24"/>
          <w:lang w:eastAsia="zh-CN"/>
        </w:rPr>
        <w:t>：</w:t>
      </w:r>
      <w:r>
        <w:rPr>
          <w:rFonts w:hint="eastAsia" w:cs="宋体"/>
          <w:b w:val="0"/>
          <w:bCs/>
          <w:kern w:val="0"/>
          <w:sz w:val="24"/>
          <w:lang w:val="en-US" w:eastAsia="zh-CN"/>
        </w:rPr>
        <w:t>0</w:t>
      </w:r>
      <w:r>
        <w:rPr>
          <w:rFonts w:hint="eastAsia" w:cs="宋体"/>
          <w:b w:val="0"/>
          <w:bCs/>
          <w:kern w:val="0"/>
          <w:sz w:val="24"/>
          <w:lang w:eastAsia="zh-CN"/>
        </w:rPr>
        <w:t>0，报价公司派代表携带密封的报价资料至厦门大学嘉庚学院资产与后勤管理部（主3#903会议室）进行现场报价，逾期不候。报价资料必须密封在档案袋里，封口处盖公章。</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报价要求：报价文字需全部使用电脑打印（手写不符合要求），每页报价资料需加盖公章、报价资料的密封处需加盖公章。</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我校根据售后服务、价格、公司资历、维保经验等综合指标进行综合评议，选择我校认为合适的产品。</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维保费用需开具维保发票，更换的设备需开具设备发票。</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报价有效期3个月。</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关于此次询价的相关事宜，请来电咨询程老师、蒋老师。</w:t>
      </w:r>
    </w:p>
    <w:p>
      <w:pPr>
        <w:numPr>
          <w:ilvl w:val="0"/>
          <w:numId w:val="0"/>
        </w:numPr>
        <w:spacing w:line="500" w:lineRule="exact"/>
        <w:ind w:leftChars="0" w:firstLine="480" w:firstLineChars="200"/>
        <w:rPr>
          <w:rFonts w:ascii="宋体" w:cs="宋体"/>
          <w:kern w:val="0"/>
          <w:sz w:val="24"/>
        </w:rPr>
      </w:pPr>
      <w:r>
        <w:rPr>
          <w:rFonts w:hint="eastAsia" w:cs="宋体"/>
          <w:b w:val="0"/>
          <w:bCs/>
          <w:kern w:val="0"/>
          <w:sz w:val="24"/>
          <w:lang w:eastAsia="zh-CN"/>
        </w:rPr>
        <w:t xml:space="preserve">联系方式：0596-6288524  </w:t>
      </w:r>
    </w:p>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维修保养内容：</w:t>
      </w:r>
    </w:p>
    <w:p>
      <w:pPr>
        <w:numPr>
          <w:ilvl w:val="0"/>
          <w:numId w:val="4"/>
        </w:numPr>
        <w:spacing w:line="500" w:lineRule="exact"/>
        <w:ind w:left="425" w:leftChars="0" w:hanging="425" w:firstLineChars="0"/>
        <w:rPr>
          <w:rFonts w:hint="eastAsia"/>
          <w:sz w:val="24"/>
        </w:rPr>
      </w:pPr>
      <w:r>
        <w:rPr>
          <w:rFonts w:hint="eastAsia"/>
          <w:sz w:val="24"/>
        </w:rPr>
        <w:t>火灾自动报警系统（包括主控设备、现场探测器、手报按钮等触发设备、 防排烟风机 、消防广播、电话系统、防火卷帘、非消防电源切换、电梯迫降等联动系统及其执行机构，使之常年正常运行，必要时应对原有损坏、老化、绝缘差的报警线路、启停控制线路等进行更换）；</w:t>
      </w:r>
    </w:p>
    <w:p>
      <w:pPr>
        <w:numPr>
          <w:ilvl w:val="0"/>
          <w:numId w:val="4"/>
        </w:numPr>
        <w:spacing w:line="500" w:lineRule="exact"/>
        <w:ind w:left="425" w:leftChars="0" w:hanging="425" w:firstLineChars="0"/>
        <w:rPr>
          <w:rFonts w:hint="eastAsia"/>
          <w:sz w:val="24"/>
        </w:rPr>
      </w:pPr>
      <w:r>
        <w:rPr>
          <w:rFonts w:hint="eastAsia"/>
          <w:sz w:val="24"/>
        </w:rPr>
        <w:t>消火栓联动控制系统的正常运行，包括消火栓远程启停泵、水泵故障自动切换等；</w:t>
      </w:r>
    </w:p>
    <w:p>
      <w:pPr>
        <w:numPr>
          <w:ilvl w:val="0"/>
          <w:numId w:val="4"/>
        </w:numPr>
        <w:spacing w:line="500" w:lineRule="exact"/>
        <w:ind w:left="425" w:leftChars="0" w:hanging="425" w:firstLineChars="0"/>
        <w:rPr>
          <w:rFonts w:hint="eastAsia"/>
          <w:sz w:val="24"/>
        </w:rPr>
      </w:pPr>
      <w:r>
        <w:rPr>
          <w:rFonts w:hint="eastAsia"/>
          <w:sz w:val="24"/>
        </w:rPr>
        <w:t>喷淋联动控制系统的正常运行,包括喷淋末端放水远程启泵、水泵故障自动切换等</w:t>
      </w:r>
    </w:p>
    <w:p>
      <w:pPr>
        <w:numPr>
          <w:ilvl w:val="0"/>
          <w:numId w:val="4"/>
        </w:numPr>
        <w:spacing w:line="500" w:lineRule="exact"/>
        <w:ind w:left="425" w:leftChars="0" w:hanging="425" w:firstLineChars="0"/>
        <w:rPr>
          <w:rFonts w:hint="eastAsia"/>
          <w:sz w:val="24"/>
        </w:rPr>
      </w:pPr>
      <w:r>
        <w:rPr>
          <w:rFonts w:hint="eastAsia"/>
          <w:sz w:val="24"/>
        </w:rPr>
        <w:t>火灾应急照明、疏散指示等消防显示装置；</w:t>
      </w:r>
    </w:p>
    <w:p>
      <w:pPr>
        <w:numPr>
          <w:ilvl w:val="0"/>
          <w:numId w:val="4"/>
        </w:numPr>
        <w:spacing w:line="500" w:lineRule="exact"/>
        <w:ind w:left="425" w:leftChars="0" w:hanging="425" w:firstLineChars="0"/>
        <w:rPr>
          <w:rFonts w:hint="eastAsia"/>
          <w:sz w:val="24"/>
        </w:rPr>
      </w:pPr>
      <w:r>
        <w:rPr>
          <w:rFonts w:hint="eastAsia"/>
          <w:sz w:val="24"/>
        </w:rPr>
        <w:t>发电机房、配电房、网络机房自动灭火系统相关设备等；</w:t>
      </w:r>
    </w:p>
    <w:p>
      <w:pPr>
        <w:numPr>
          <w:ilvl w:val="0"/>
          <w:numId w:val="4"/>
        </w:numPr>
        <w:spacing w:line="500" w:lineRule="exact"/>
        <w:ind w:left="425" w:leftChars="0" w:hanging="425" w:firstLineChars="0"/>
        <w:rPr>
          <w:rFonts w:hint="eastAsia"/>
          <w:sz w:val="24"/>
        </w:rPr>
      </w:pPr>
      <w:r>
        <w:rPr>
          <w:rFonts w:hint="eastAsia"/>
          <w:sz w:val="24"/>
          <w:lang w:eastAsia="zh-CN"/>
        </w:rPr>
        <w:t>免费</w:t>
      </w:r>
      <w:r>
        <w:rPr>
          <w:rFonts w:hint="eastAsia"/>
          <w:sz w:val="24"/>
        </w:rPr>
        <w:t>配合甲方消防给水系统的故障排查。</w:t>
      </w:r>
    </w:p>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维保要求</w:t>
      </w:r>
    </w:p>
    <w:p>
      <w:pPr>
        <w:numPr>
          <w:ilvl w:val="0"/>
          <w:numId w:val="5"/>
        </w:numPr>
        <w:spacing w:line="500" w:lineRule="exact"/>
        <w:ind w:left="425" w:leftChars="0" w:hanging="425" w:firstLineChars="0"/>
        <w:rPr>
          <w:rFonts w:hint="eastAsia" w:eastAsia="宋体"/>
          <w:sz w:val="24"/>
          <w:lang w:eastAsia="zh-CN"/>
        </w:rPr>
      </w:pPr>
      <w:r>
        <w:rPr>
          <w:rFonts w:hint="eastAsia"/>
          <w:sz w:val="24"/>
          <w:lang w:eastAsia="zh-CN"/>
        </w:rPr>
        <w:t>合同期限</w:t>
      </w:r>
      <w:r>
        <w:rPr>
          <w:rFonts w:hint="eastAsia"/>
          <w:sz w:val="24"/>
        </w:rPr>
        <w:t>壹年，即从201</w:t>
      </w:r>
      <w:r>
        <w:rPr>
          <w:rFonts w:hint="eastAsia"/>
          <w:sz w:val="24"/>
          <w:lang w:val="en-US" w:eastAsia="zh-CN"/>
        </w:rPr>
        <w:t>9</w:t>
      </w:r>
      <w:r>
        <w:rPr>
          <w:rFonts w:hint="eastAsia"/>
          <w:sz w:val="24"/>
        </w:rPr>
        <w:t xml:space="preserve"> 年 03月 01日至 20</w:t>
      </w:r>
      <w:r>
        <w:rPr>
          <w:rFonts w:hint="eastAsia"/>
          <w:sz w:val="24"/>
          <w:lang w:val="en-US" w:eastAsia="zh-CN"/>
        </w:rPr>
        <w:t>20</w:t>
      </w:r>
      <w:r>
        <w:rPr>
          <w:rFonts w:hint="eastAsia"/>
          <w:sz w:val="24"/>
        </w:rPr>
        <w:t xml:space="preserve"> 年02月 28日内为维修保养期。期满前一个月双方继续协商合同的续签问题。</w:t>
      </w:r>
    </w:p>
    <w:p>
      <w:pPr>
        <w:numPr>
          <w:ilvl w:val="0"/>
          <w:numId w:val="5"/>
        </w:numPr>
        <w:spacing w:line="500" w:lineRule="exact"/>
        <w:ind w:left="425" w:leftChars="0" w:hanging="425" w:firstLineChars="0"/>
        <w:rPr>
          <w:rFonts w:hint="eastAsia" w:eastAsia="宋体"/>
          <w:sz w:val="24"/>
          <w:lang w:eastAsia="zh-CN"/>
        </w:rPr>
      </w:pPr>
      <w:r>
        <w:rPr>
          <w:rFonts w:hint="eastAsia" w:eastAsia="宋体"/>
          <w:sz w:val="24"/>
          <w:lang w:eastAsia="zh-CN"/>
        </w:rPr>
        <w:t>按照相关使用说明书及消防系统检查验收的标准和规范和《中华人民共和国公共安全行业标准建筑消防设施的维护管理》以及维保计划书的相关要求进行维保，确保消防自动报警及联动系统时刻都能保持在完好、正常运转状态。</w:t>
      </w:r>
    </w:p>
    <w:p>
      <w:pPr>
        <w:numPr>
          <w:ilvl w:val="0"/>
          <w:numId w:val="5"/>
        </w:numPr>
        <w:spacing w:line="500" w:lineRule="exact"/>
        <w:ind w:left="425" w:leftChars="0" w:hanging="425" w:firstLineChars="0"/>
        <w:rPr>
          <w:rFonts w:hint="eastAsia"/>
          <w:sz w:val="24"/>
        </w:rPr>
      </w:pPr>
      <w:r>
        <w:rPr>
          <w:rFonts w:hint="eastAsia"/>
          <w:sz w:val="24"/>
          <w:lang w:eastAsia="zh-CN"/>
        </w:rPr>
        <w:t>维保方</w:t>
      </w:r>
      <w:r>
        <w:rPr>
          <w:rFonts w:hint="eastAsia"/>
          <w:sz w:val="24"/>
        </w:rPr>
        <w:t>对本系统进行维保费包干</w:t>
      </w:r>
      <w:r>
        <w:rPr>
          <w:rFonts w:hint="eastAsia"/>
          <w:sz w:val="24"/>
          <w:lang w:eastAsia="zh-CN"/>
        </w:rPr>
        <w:t>。</w:t>
      </w:r>
      <w:r>
        <w:rPr>
          <w:rFonts w:hint="eastAsia" w:ascii="宋体" w:hAnsi="宋体"/>
          <w:sz w:val="24"/>
        </w:rPr>
        <w:t>维保费用按实际维保月份计算。</w:t>
      </w:r>
      <w:r>
        <w:rPr>
          <w:rFonts w:hint="eastAsia"/>
          <w:color w:val="000000"/>
          <w:sz w:val="24"/>
        </w:rPr>
        <w:t>由</w:t>
      </w:r>
      <w:r>
        <w:rPr>
          <w:rFonts w:hint="eastAsia"/>
          <w:color w:val="000000"/>
          <w:sz w:val="24"/>
          <w:lang w:eastAsia="zh-CN"/>
        </w:rPr>
        <w:t>维保方</w:t>
      </w:r>
      <w:r>
        <w:rPr>
          <w:rFonts w:hint="eastAsia"/>
          <w:color w:val="000000"/>
          <w:sz w:val="24"/>
        </w:rPr>
        <w:t>提供税务部门合法发票给甲方，</w:t>
      </w:r>
      <w:r>
        <w:rPr>
          <w:rFonts w:hint="eastAsia" w:ascii="宋体" w:hAnsi="宋体"/>
          <w:sz w:val="24"/>
        </w:rPr>
        <w:t>甲方分四次支付给</w:t>
      </w:r>
      <w:r>
        <w:rPr>
          <w:rFonts w:hint="eastAsia" w:ascii="宋体" w:hAnsi="宋体"/>
          <w:sz w:val="24"/>
          <w:lang w:eastAsia="zh-CN"/>
        </w:rPr>
        <w:t>维保方</w:t>
      </w:r>
      <w:r>
        <w:rPr>
          <w:rFonts w:hint="eastAsia" w:ascii="宋体" w:hAnsi="宋体"/>
          <w:sz w:val="24"/>
        </w:rPr>
        <w:t>，</w:t>
      </w:r>
      <w:r>
        <w:rPr>
          <w:rFonts w:hint="eastAsia" w:ascii="宋体" w:hAnsi="宋体"/>
          <w:spacing w:val="8"/>
          <w:sz w:val="24"/>
        </w:rPr>
        <w:t>每季度系统验收通过后凭</w:t>
      </w:r>
      <w:r>
        <w:rPr>
          <w:rFonts w:hint="eastAsia" w:ascii="宋体" w:hAnsi="宋体"/>
          <w:spacing w:val="8"/>
          <w:sz w:val="24"/>
          <w:lang w:eastAsia="zh-CN"/>
        </w:rPr>
        <w:t>维保方</w:t>
      </w:r>
      <w:r>
        <w:rPr>
          <w:rFonts w:hint="eastAsia" w:ascii="宋体" w:hAnsi="宋体"/>
          <w:spacing w:val="8"/>
          <w:sz w:val="24"/>
        </w:rPr>
        <w:t>开具的有效发票二十天支付合同总价的25%。</w:t>
      </w:r>
    </w:p>
    <w:p>
      <w:pPr>
        <w:numPr>
          <w:ilvl w:val="0"/>
          <w:numId w:val="5"/>
        </w:numPr>
        <w:spacing w:line="500" w:lineRule="exact"/>
        <w:ind w:left="425" w:leftChars="0" w:hanging="425" w:firstLineChars="0"/>
        <w:rPr>
          <w:rFonts w:hint="eastAsia" w:ascii="楷体_GB2312" w:eastAsia="楷体_GB2312"/>
          <w:spacing w:val="8"/>
          <w:sz w:val="24"/>
        </w:rPr>
      </w:pPr>
      <w:r>
        <w:rPr>
          <w:rFonts w:hint="eastAsia"/>
          <w:sz w:val="24"/>
        </w:rPr>
        <w:t>更换单价50元及以下的元器件由</w:t>
      </w:r>
      <w:r>
        <w:rPr>
          <w:rFonts w:hint="eastAsia"/>
          <w:sz w:val="24"/>
          <w:lang w:eastAsia="zh-CN"/>
        </w:rPr>
        <w:t>维保方</w:t>
      </w:r>
      <w:r>
        <w:rPr>
          <w:rFonts w:hint="eastAsia"/>
          <w:sz w:val="24"/>
        </w:rPr>
        <w:t>负责；更换单价50元以上的元器件费用由甲方承担，但对必须更换的元器件应事先报甲方确认。</w:t>
      </w:r>
      <w:r>
        <w:rPr>
          <w:rFonts w:hint="eastAsia"/>
          <w:sz w:val="24"/>
          <w:lang w:eastAsia="zh-CN"/>
        </w:rPr>
        <w:t>维保范围外的费用每季度结算一次。</w:t>
      </w:r>
    </w:p>
    <w:p>
      <w:pPr>
        <w:numPr>
          <w:ilvl w:val="0"/>
          <w:numId w:val="5"/>
        </w:numPr>
        <w:spacing w:line="500" w:lineRule="exact"/>
        <w:ind w:left="425" w:leftChars="0" w:hanging="425" w:firstLineChars="0"/>
        <w:rPr>
          <w:rFonts w:hint="eastAsia" w:ascii="宋体" w:hAnsi="宋体"/>
          <w:sz w:val="24"/>
        </w:rPr>
      </w:pPr>
      <w:r>
        <w:rPr>
          <w:rFonts w:hint="eastAsia" w:ascii="宋体" w:hAnsi="宋体"/>
          <w:color w:val="000000"/>
          <w:sz w:val="24"/>
          <w:lang w:eastAsia="zh-CN"/>
        </w:rPr>
        <w:t>维保方</w:t>
      </w:r>
      <w:r>
        <w:rPr>
          <w:rFonts w:hint="eastAsia" w:ascii="宋体" w:hAnsi="宋体"/>
          <w:color w:val="000000"/>
          <w:sz w:val="24"/>
        </w:rPr>
        <w:t>应保证自身具备法律规定的从事该项维保工作的主体资格条件，</w:t>
      </w:r>
      <w:r>
        <w:rPr>
          <w:rFonts w:hint="eastAsia"/>
          <w:color w:val="000000"/>
          <w:sz w:val="24"/>
        </w:rPr>
        <w:t>维保人员必须</w:t>
      </w:r>
      <w:r>
        <w:rPr>
          <w:rFonts w:hint="eastAsia"/>
          <w:sz w:val="24"/>
        </w:rPr>
        <w:t>是熟悉消防设施设备且持证上岗的专业人员。</w:t>
      </w:r>
      <w:r>
        <w:rPr>
          <w:rFonts w:hint="eastAsia" w:ascii="宋体" w:hAnsi="宋体"/>
          <w:spacing w:val="8"/>
          <w:sz w:val="24"/>
        </w:rPr>
        <w:t>施工中严格遵守甲方维保场地的各种规章制度，应密切配合和服从业主的监督管理，严格按相应施工规范要求进行维保，保证工程质量。</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合同签订后三日内，维保方应免费对系统进行一次全面的检查测试和维保，并提供检测报告和维保记录。</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维保方每月应对消防自动报警系统检查保养一次，对消防系统设备和管网检查试验一次，确保设备运行正常，</w:t>
      </w:r>
      <w:r>
        <w:rPr>
          <w:rFonts w:hint="eastAsia"/>
          <w:sz w:val="24"/>
          <w:lang w:eastAsia="zh-CN"/>
        </w:rPr>
        <w:t>每月</w:t>
      </w:r>
      <w:r>
        <w:rPr>
          <w:rFonts w:hint="eastAsia"/>
          <w:sz w:val="24"/>
          <w:lang w:val="en-US" w:eastAsia="zh-CN"/>
        </w:rPr>
        <w:t>10号前</w:t>
      </w:r>
      <w:r>
        <w:rPr>
          <w:rFonts w:hint="eastAsia"/>
          <w:sz w:val="24"/>
          <w:lang w:eastAsia="zh-CN"/>
        </w:rPr>
        <w:t>维保方</w:t>
      </w:r>
      <w:r>
        <w:rPr>
          <w:rFonts w:hint="eastAsia"/>
          <w:sz w:val="24"/>
        </w:rPr>
        <w:t>应提交</w:t>
      </w:r>
      <w:r>
        <w:rPr>
          <w:rFonts w:hint="eastAsia"/>
          <w:sz w:val="24"/>
          <w:lang w:eastAsia="zh-CN"/>
        </w:rPr>
        <w:t>上一个月的维保报告</w:t>
      </w:r>
      <w:r>
        <w:rPr>
          <w:rFonts w:hint="eastAsia" w:ascii="宋体" w:hAnsi="宋体"/>
          <w:color w:val="000000"/>
          <w:sz w:val="24"/>
          <w:lang w:eastAsia="zh-CN"/>
        </w:rPr>
        <w:t>。在对系统做试验时，甲方人员须陪同一起参加。每年度对系统做一次全面检测，并在检测后10天内提供符合消防安全要求的年度检测报告。</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在维保期内消防系统若发生异常或故障，维修人员接到甲方通知后最迟不得超过12小时赶到现场，并在24小时内解决问题，但对于严重的系统故障，均应在3小时内赶到现场进行维修，维保方维修人员不能排除的故障，维保方负责联系设备厂家派技术人员到现场解决故障问题，其差旅费用由维保方负责。</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每次定期检查和紧急召修完毕，都必须如实地、详细地填写维修保养记录单，并经甲方人员签名确认。如发现记录不详、不实；召修不能按时到达；故障不能及时修复或无维保方维保人员、甲方确认人员签名的，每项次扣除维保费</w:t>
      </w:r>
      <w:r>
        <w:rPr>
          <w:rFonts w:hint="eastAsia" w:ascii="宋体" w:hAnsi="宋体"/>
          <w:color w:val="000000"/>
          <w:sz w:val="24"/>
          <w:lang w:val="en-US" w:eastAsia="zh-CN"/>
        </w:rPr>
        <w:t>1000</w:t>
      </w:r>
      <w:r>
        <w:rPr>
          <w:rFonts w:hint="eastAsia" w:ascii="宋体" w:hAnsi="宋体"/>
          <w:color w:val="000000"/>
          <w:sz w:val="24"/>
          <w:lang w:eastAsia="zh-CN"/>
        </w:rPr>
        <w:t>元。</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维保方未按约定内容、要求履行维修保养义务时，甲方可书面要求维保方整改，如经甲方三次书面通知，仍无法满足甲方的要求，维保方应赔偿在此期间造成的一切损失（包括但不限于甲方请第三人履行维修保养所应支付的费用），并扣除当月的维保费用，甲方可解除本合同并追究维保方的相关责任。</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重视安全管理，维修保养中维保方要采取安全防护措施，确保不出安全责任事故。若造成安全事故，均由维保方自行负责；若维保方对甲方或第三人的人身造成损害及财产损失的，维保方应承担赔偿责任。</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前来提供定期维保服务前一星期应事先通知甲方,若甲方在特殊情况下要求时间作适当调整,维保方应予配合。维保方按照甲方的要求办理好进场维保手续等，甲方人员应陪同一起参加。维保过程中如发现损坏的元器件，应先查明损坏原因，能修则修，确实不能修复的，经甲方确认后，予以更换。</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维保方应及时清理维修更换下来的废弃物，保证现场清洁。</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保证系统在年度消防检查时能被认定为合格系统。在维保期内，若被消防部门检查不合格，维保方应承担维保工作不到位产生的相应责任。合同期满，维保方保证将完好的系统交给甲方，如有缺损，由维保方修复或赔偿。</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维保实行签到制度。每次维保方上门维保均需对系统运行情况和故障排查情况进行登记，并由甲方负责人员签字确认。</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在维保过程中我校提供维修上的方便（例如场所开放、资料提供、器件的使用及必要时的供电、供水等）；</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我校安排操作人员应承担日常的管理、巡视检查工作，并及时将发现的问题反馈给中标单位。</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若维保方有关服务不到位，甲方通知维保方定期整改，经整改还是未能达到合同要求，甲方有权提前终止本合同，维保方不得异议。</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若公安消防机构指定要求委托专业检测机构出具检测报告，则检测费由甲方承担。</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重大节日包括“五一”，“十一”，“校庆”，“九八”洽谈会，春节、春假及上级布置的消防安全大检查。应保证系统正常运行。迎新和学校重大活动需派维护人员全天现场跟进保障。</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维护保养细则：</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ind w:left="959"/>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火灾自动报警系统</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控制器外观铭牌及标志明显，清晰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控制器接地有工作接地线及RE线接地保护</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控制器接地标志明显，持久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控制器电源应是消防专用电源、专用蓄电池供电；直连消防电源，严禁插头，每月进行一次冲放电试验和一次主备电自动切换试验</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报警音响 清洗洪亮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控制器基本功能 </w:t>
      </w:r>
    </w:p>
    <w:p>
      <w:pPr>
        <w:keepNext w:val="0"/>
        <w:keepLines w:val="0"/>
        <w:pageBreakBefore w:val="0"/>
        <w:widowControl/>
        <w:numPr>
          <w:ilvl w:val="1"/>
          <w:numId w:val="7"/>
        </w:numPr>
        <w:kinsoku/>
        <w:wordWrap w:val="0"/>
        <w:overflowPunct/>
        <w:topLinePunct w:val="0"/>
        <w:autoSpaceDE/>
        <w:autoSpaceDN/>
        <w:bidi w:val="0"/>
        <w:adjustRightInd/>
        <w:snapToGrid/>
        <w:spacing w:before="100" w:beforeAutospacing="0" w:after="100" w:afterAutospacing="0" w:line="500" w:lineRule="exact"/>
        <w:ind w:firstLine="163"/>
        <w:textAlignment w:val="auto"/>
        <w:rPr>
          <w:rFonts w:hint="eastAsia" w:ascii="宋体" w:hAnsi="宋体" w:cs="宋体"/>
          <w:color w:val="333333"/>
          <w:kern w:val="0"/>
          <w:sz w:val="24"/>
        </w:rPr>
      </w:pPr>
      <w:r>
        <w:rPr>
          <w:rFonts w:hint="eastAsia" w:ascii="宋体" w:hAnsi="宋体" w:cs="宋体"/>
          <w:color w:val="333333"/>
          <w:kern w:val="0"/>
          <w:sz w:val="24"/>
        </w:rPr>
        <w:t>报警功能 接到火灾信号，发出声光报警</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二次报警 手动复位后，再接信号再报警</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故障报警 100秒内，发出声、光故障信号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自检功能 可自检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火灾优先功能 与故障同时报警时，火警优先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记忆功能 显示或打印火警时间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消音、复位功能 火警状态时可手动消除信号并复位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探测器，当火灾探测器在接收到烟雾后，报警确认灯亮，表明该探测器工作正常，与此同时向报警控制器发出火灾信号。还要检查时钟是否走动，有无发生火警的时间记录。检查后，应及时对设备进行消音、复位。</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火灾探测器应每三年全部以压力气冲方式清洗一遍，并作响应阈值及其它必要的功能试验，合格者可继续使用，不合格者严禁重新安装使用。</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报警按钮外观组件完整，标志明显 牢固，不松，不斜，启动按钮，按钮处有发光指示，火警信号输出。每月以1/12的比例现场模拟测试。</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火灾事故广播扬声器的设置距本楼层内任意处≯25m,额定功率≮3W。系统可在消控室将进行中的一般广播强切换为火灾广播。消控室内可选定楼层（区域）广播。</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控制室与设备间的消防分机通话功能正常，语音清楚，与手动报警按钮处插孔通话功能正常，语音清晰，与“119”台通话功能正常，语音清楚。</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声光报警器安装牢固，平衡，不斜，不松动。试验时能够及时报警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火灾应急照明灯外表完整无损，短路保护及无锁按钮试验。报警试验时能够准确动作。</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切除非消防电源 脱扣器外表完整无损，报警试验时能够准确动作。</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 安全疏散指示灯外表完整无损，疏散指示方向和图形指向正确，应急转换时间≯5S，可连续转换10次。</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确认火灾后，消防电梯可手动、自动迫降至首层，信号能反馈至控制室。</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自动喷淋系统及消火栓系统</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系统必须有监督、检测、维护制度，保证系统处于准工作状态。负责系统维护的人员安排熟悉自动喷水灭火系统原理、性能和操作维护规程。负责系统维护的人员定期必须巡检责任区内所有供水总控制阀、报警控制阀及其附属组件，进行外观检查，并观察压力表指针所指是否正确的压力，保证系统处于无故障状态。供水水源必须保证供给设计所需的水量和水压，每年对水源的供水能力进行一次测定。</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消防用的蓄水池、高位水箱、气压水罐每月应检查核对其消防水位及气压水罐的气体压力，并对保证消防储备水不被他用的措施进行检查，发现有故障，应及时进行修理。</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消防专用蓄水池或水箱、水罐的水应根据当地环境、气候条件不定期更换，避免腐败。</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寒冷季节，储水设备的任何部位都不允许结冰。设置储水设别的房间应每天检查。保持室温不低于5℃。</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每两年应对储水设备结构材料进行检查、修补。钢板水箱的玻璃水位计，两端的角阀在不观察时应关闭。</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检查测试消火栓按钮报警及远程启泵功能，以1/12的比例模拟测试，一年内全部测试完毕。</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消防水泵应每月启动运转一次，内燃机驱动的消防泵应每星期启动运转一次。如消防水泵设计为自动控制启动运行时，应模拟自动控制的参数使其启动运转。</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每个季度应利用报警控制阀旁的放水试验阀进行一次供水水流试验，以验证系统的供水能力。</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系统上所有控制阀门均应用铅封或锁链固定在开启或规定的状态。阀门应编号，并挂上标牌，标明阀门在系统中所控制的部位和应处于正确的状态。</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每月应对铅封和锁链进行一次检查，如有破坏或损坏应及时修理更换，保证控制阀门不被误关闭，保证供水管路畅通。</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建筑物室外阀门井中，进水管上的控制阀门应每季度检查一次，以核实处于全开状态。</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室外水泵接合器的接口与配套附件应每月检查一次，保证接口完好、无渗漏、焖盖齐全。</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每月应对管道上的水流指示器进行试验，利用末端试水装置排水，检查其是否能及时报警。</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每月应对喷头进行外观检查，发现不正常的喷头应及时更换。</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各种不同规格的喷头均应分别存储一定数量的备品，其数量不小于总数的1%，且每种备用喷头不应小于10只。喷头的更换或安装均需使用专用喷头扳手。扳手应保存在消防值班室里。</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发现故障，需停水进行修理前，均应向主管值班人员报告，取得责任系统维护专职人员同意，并现场监督，方能动工。</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对排烟阀、排烟防火阀、送风阀的维护保养： </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排烟口、送风口有无变形、损伤，周围有无影响使用的障碍物； </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风管与排烟口连接部位的法兰有无损伤，螺栓是否松动；</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阀件是否完整，易熔片是否脱落，动作是否正常；</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旋转机构是否灵活，每年对机械传送机构加适量润滑剂；</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制动机构、限位器是否符合要求；</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进行手动、远程启闭操作，检查是否可完全打开.</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每三个月对阀门进行手动测试，每半年上油保养。</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对送风、排烟风机的维护保养：</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风机房周围有无可燃物；安装螺栓是否松动、损伤；</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传动机构是否变形、损伤；叶轮是否与外壳接触；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电动机的接线是否松动；电动机的外壳有无腐蚀现象；</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电源供电是否正常（检查电压表或电源指示灯）。</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检查轴承部分润滑油状态是否异常（脏污、混入泥沙、尘等）；</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检查电动机的轴承部位润滑油液位是否正常；</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检查传动皮带是否松动，联轴器是否牢固；</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启动电动机，旋转时有无异常振动、杂音。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操作手动或自动启动装置，进行每个防烟分区（或正压送风）的动作试验，检查下列事项：</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手动或自动能否正常启动；</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运转电流是否正常；</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运转中是否有不规则杂音及异常振动；</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动作设备的区域是否与原设计对应。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对风机电柜的维护保养：</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控制柜是否设置在易于操作、检查、维修方便的位置。</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控制柜有无变形、损伤、腐蚀。</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线路图及操作说明是否齐全。</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电压、电流表的指针是否在规定的范围内。</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开关是否有变形、损伤、标志脱落、处于正常状态。</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操作开关，检查开关性能，检查指示灯显示状态是否正常。</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继电器是否脱落、松动，接点是否烧损，转换开关能否正常切换。</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出具《月检查报告书》。</w:t>
      </w:r>
    </w:p>
    <w:p>
      <w:pPr>
        <w:keepNext w:val="0"/>
        <w:keepLines w:val="0"/>
        <w:pageBreakBefore w:val="0"/>
        <w:numPr>
          <w:ilvl w:val="0"/>
          <w:numId w:val="12"/>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b/>
          <w:color w:val="333333"/>
          <w:kern w:val="0"/>
          <w:sz w:val="24"/>
        </w:rPr>
        <w:t>季巡检规定</w:t>
      </w:r>
      <w:r>
        <w:rPr>
          <w:rFonts w:hint="eastAsia" w:ascii="宋体" w:hAnsi="宋体" w:cs="宋体"/>
          <w:color w:val="333333"/>
          <w:kern w:val="0"/>
          <w:sz w:val="24"/>
        </w:rPr>
        <w:t>：每季进行一次巡检。维护保养细则如下：</w:t>
      </w:r>
    </w:p>
    <w:p>
      <w:pPr>
        <w:keepNext w:val="0"/>
        <w:keepLines w:val="0"/>
        <w:pageBreakBefore w:val="0"/>
        <w:kinsoku/>
        <w:overflowPunct/>
        <w:topLinePunct w:val="0"/>
        <w:autoSpaceDE/>
        <w:autoSpaceDN/>
        <w:bidi w:val="0"/>
        <w:adjustRightInd/>
        <w:snapToGrid/>
        <w:spacing w:beforeAutospacing="0" w:afterAutospacing="0" w:line="500" w:lineRule="exact"/>
        <w:ind w:left="540" w:leftChars="257" w:firstLine="360" w:firstLineChars="150"/>
        <w:textAlignment w:val="auto"/>
        <w:rPr>
          <w:rFonts w:hint="eastAsia" w:ascii="宋体" w:hAnsi="宋体" w:cs="宋体"/>
          <w:color w:val="333333"/>
          <w:kern w:val="0"/>
          <w:sz w:val="24"/>
        </w:rPr>
      </w:pPr>
      <w:r>
        <w:rPr>
          <w:rFonts w:hint="eastAsia" w:ascii="宋体" w:hAnsi="宋体" w:cs="宋体"/>
          <w:color w:val="333333"/>
          <w:kern w:val="0"/>
          <w:sz w:val="24"/>
        </w:rPr>
        <w:t>每季度巡检除月检内容外还应重点检查消控室、水泵房、风机房内设备的运行状态，动作情况：</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消控主机双电源互投，主备电切换；</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消防水泵常用泵和备用泵故障自动切换；</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出具《季度检查报告书》。</w:t>
      </w:r>
    </w:p>
    <w:p>
      <w:pPr>
        <w:keepNext w:val="0"/>
        <w:keepLines w:val="0"/>
        <w:pageBreakBefore w:val="0"/>
        <w:numPr>
          <w:ilvl w:val="0"/>
          <w:numId w:val="12"/>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b/>
          <w:color w:val="333333"/>
          <w:kern w:val="0"/>
          <w:sz w:val="24"/>
        </w:rPr>
        <w:t>年巡检规定</w:t>
      </w:r>
      <w:r>
        <w:rPr>
          <w:rFonts w:hint="eastAsia" w:ascii="宋体" w:hAnsi="宋体" w:cs="宋体"/>
          <w:color w:val="333333"/>
          <w:kern w:val="0"/>
          <w:sz w:val="24"/>
        </w:rPr>
        <w:t>：每月进行一次巡检。维护保养细则如下：</w:t>
      </w:r>
    </w:p>
    <w:p>
      <w:pPr>
        <w:keepNext w:val="0"/>
        <w:keepLines w:val="0"/>
        <w:pageBreakBefore w:val="0"/>
        <w:kinsoku/>
        <w:overflowPunct/>
        <w:topLinePunct w:val="0"/>
        <w:autoSpaceDE/>
        <w:autoSpaceDN/>
        <w:bidi w:val="0"/>
        <w:adjustRightInd/>
        <w:snapToGrid/>
        <w:spacing w:beforeAutospacing="0" w:afterAutospacing="0" w:line="500" w:lineRule="exact"/>
        <w:ind w:left="540" w:leftChars="257" w:firstLine="360" w:firstLineChars="150"/>
        <w:textAlignment w:val="auto"/>
        <w:rPr>
          <w:rFonts w:hint="eastAsia" w:ascii="宋体" w:hAnsi="宋体" w:cs="宋体"/>
          <w:color w:val="333333"/>
          <w:kern w:val="0"/>
          <w:sz w:val="24"/>
        </w:rPr>
      </w:pPr>
      <w:r>
        <w:rPr>
          <w:rFonts w:hint="eastAsia" w:ascii="宋体" w:hAnsi="宋体" w:cs="宋体"/>
          <w:color w:val="333333"/>
          <w:kern w:val="0"/>
          <w:sz w:val="24"/>
        </w:rPr>
        <w:t>每年度巡检除季度，月检内容外还应进行以下工作：</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配合业主举行的消防演练，消防演练后对系统进行维护保养；</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每年应对防排烟风机的风量进行测定；</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对消防系统维护需使用的仪表进行校验；</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出具《年度检查报告书》。</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维修规定：</w:t>
      </w:r>
    </w:p>
    <w:p>
      <w:pPr>
        <w:keepNext w:val="0"/>
        <w:keepLines w:val="0"/>
        <w:pageBreakBefore w:val="0"/>
        <w:kinsoku/>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333333"/>
          <w:kern w:val="0"/>
          <w:sz w:val="24"/>
        </w:rPr>
      </w:pPr>
      <w:r>
        <w:rPr>
          <w:rFonts w:hint="eastAsia" w:ascii="宋体" w:hAnsi="宋体" w:cs="宋体"/>
          <w:color w:val="333333"/>
          <w:kern w:val="0"/>
          <w:sz w:val="24"/>
        </w:rPr>
        <w:t>公司维修人员除加强对维护点的巡检外，还应对各维护点出现的隐患、故障加强维修工作，及时检查和排除消防各系统隐患故障。为了保障维护的各系统高效可靠，特作以下规定：</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与用户保持密切联系，经常了解系统的运行情况。</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每天确定值班电话，用户随叫随到及时排除各种故障。在接到业主维修通知后，最迟不得超过12小时赶到现场，并在24小时内解决问题。</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维修过程中不得出现偷工减料，出工不出力等情况。</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每次故障排除后，必须填写《维修单报告单》。</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sz w:val="24"/>
        </w:rPr>
        <w:t>当消防系统出现大的故障，及时通知供应商或生产厂家进行协商解决，并在《维修报告单》中注明。</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sz w:val="24"/>
        </w:rPr>
        <w:t>较大故障的界定：</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消控主机丧失报警功能或功能卡件的故障；</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一条或以上的报警回路丧失报警功能；</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一条或以上的联动回路丧失联动功能；</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消防供水主管或二层及以上的楼层支管故障；</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现场大型联动设备（如水泵、风机、卷帘门等）本身的故障。</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紧急服务计划</w:t>
      </w:r>
    </w:p>
    <w:p>
      <w:pPr>
        <w:keepNext w:val="0"/>
        <w:keepLines w:val="0"/>
        <w:pageBreakBefore w:val="0"/>
        <w:numPr>
          <w:ilvl w:val="1"/>
          <w:numId w:val="16"/>
        </w:numPr>
        <w:kinsoku/>
        <w:overflowPunct/>
        <w:topLinePunct w:val="0"/>
        <w:autoSpaceDE/>
        <w:autoSpaceDN/>
        <w:bidi w:val="0"/>
        <w:adjustRightInd/>
        <w:snapToGrid/>
        <w:spacing w:beforeAutospacing="0" w:afterAutospacing="0" w:line="500" w:lineRule="exact"/>
        <w:textAlignment w:val="auto"/>
        <w:rPr>
          <w:rFonts w:hint="eastAsia"/>
          <w:sz w:val="24"/>
        </w:rPr>
      </w:pPr>
      <w:r>
        <w:rPr>
          <w:rFonts w:hint="eastAsia"/>
          <w:sz w:val="24"/>
        </w:rPr>
        <w:t>当消防系统出现问题和故障时，作到3小时内派人员到现场，当场有条件解决的应当立即解决；没有条件当场解决的，应当在24小时内解决；需要由供应商或者厂家解决的，不影响系统正常工作的应当在10个工作日内解决，影响系统正常工作的应当在5个工作日内解决，恢复系统正常工作状态。</w:t>
      </w:r>
    </w:p>
    <w:p>
      <w:pPr>
        <w:keepNext w:val="0"/>
        <w:keepLines w:val="0"/>
        <w:pageBreakBefore w:val="0"/>
        <w:numPr>
          <w:ilvl w:val="1"/>
          <w:numId w:val="16"/>
        </w:numPr>
        <w:kinsoku/>
        <w:overflowPunct/>
        <w:topLinePunct w:val="0"/>
        <w:autoSpaceDE/>
        <w:autoSpaceDN/>
        <w:bidi w:val="0"/>
        <w:adjustRightInd/>
        <w:snapToGrid/>
        <w:spacing w:beforeAutospacing="0" w:afterAutospacing="0" w:line="500" w:lineRule="exact"/>
        <w:textAlignment w:val="auto"/>
        <w:rPr>
          <w:rFonts w:hint="eastAsia" w:ascii="宋体" w:hAnsi="宋体"/>
          <w:sz w:val="24"/>
        </w:rPr>
      </w:pPr>
      <w:r>
        <w:rPr>
          <w:rFonts w:hint="eastAsia"/>
          <w:sz w:val="24"/>
        </w:rPr>
        <w:t>对因产品质量问题造成的故障应当及时通知委托单位同供应商或生产厂家进行协商解决，并在《维护保养报告书》中注明。</w:t>
      </w: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textAlignment w:val="auto"/>
        <w:rPr>
          <w:rFonts w:hint="eastAsia"/>
          <w:sz w:val="24"/>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textAlignment w:val="auto"/>
        <w:rPr>
          <w:rFonts w:hint="eastAsia"/>
          <w:sz w:val="24"/>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right="325" w:rightChars="155"/>
        <w:jc w:val="right"/>
        <w:textAlignment w:val="auto"/>
        <w:rPr>
          <w:rFonts w:hint="eastAsia"/>
          <w:sz w:val="24"/>
          <w:lang w:eastAsia="zh-CN"/>
        </w:rPr>
      </w:pPr>
      <w:r>
        <w:rPr>
          <w:rFonts w:hint="eastAsia"/>
          <w:sz w:val="24"/>
          <w:lang w:eastAsia="zh-CN"/>
        </w:rPr>
        <w:t>资产与后勤管理部</w:t>
      </w: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right="325" w:rightChars="155"/>
        <w:jc w:val="right"/>
        <w:textAlignment w:val="auto"/>
        <w:rPr>
          <w:rFonts w:hint="eastAsia"/>
          <w:sz w:val="24"/>
          <w:lang w:val="en-US" w:eastAsia="zh-CN"/>
        </w:rPr>
      </w:pPr>
      <w:r>
        <w:rPr>
          <w:rFonts w:hint="eastAsia"/>
          <w:sz w:val="24"/>
          <w:lang w:val="en-US" w:eastAsia="zh-CN"/>
        </w:rPr>
        <w:t>2019年2月18</w:t>
      </w:r>
      <w:bookmarkStart w:id="0" w:name="_GoBack"/>
      <w:bookmarkEnd w:id="0"/>
      <w:r>
        <w:rPr>
          <w:rFonts w:hint="eastAsia"/>
          <w:sz w:val="24"/>
          <w:lang w:val="en-US" w:eastAsia="zh-CN"/>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77553"/>
    <w:multiLevelType w:val="singleLevel"/>
    <w:tmpl w:val="A8077553"/>
    <w:lvl w:ilvl="0" w:tentative="0">
      <w:start w:val="1"/>
      <w:numFmt w:val="decimal"/>
      <w:lvlText w:val="%1."/>
      <w:lvlJc w:val="left"/>
      <w:pPr>
        <w:ind w:left="425" w:hanging="425"/>
      </w:pPr>
      <w:rPr>
        <w:rFonts w:hint="default"/>
      </w:rPr>
    </w:lvl>
  </w:abstractNum>
  <w:abstractNum w:abstractNumId="1">
    <w:nsid w:val="AC91DF0D"/>
    <w:multiLevelType w:val="singleLevel"/>
    <w:tmpl w:val="AC91DF0D"/>
    <w:lvl w:ilvl="0" w:tentative="0">
      <w:start w:val="1"/>
      <w:numFmt w:val="decimal"/>
      <w:lvlText w:val="%1."/>
      <w:lvlJc w:val="left"/>
      <w:pPr>
        <w:ind w:left="425" w:hanging="425"/>
      </w:pPr>
      <w:rPr>
        <w:rFonts w:hint="default"/>
      </w:rPr>
    </w:lvl>
  </w:abstractNum>
  <w:abstractNum w:abstractNumId="2">
    <w:nsid w:val="E0D764CB"/>
    <w:multiLevelType w:val="singleLevel"/>
    <w:tmpl w:val="E0D764CB"/>
    <w:lvl w:ilvl="0" w:tentative="0">
      <w:start w:val="1"/>
      <w:numFmt w:val="decimal"/>
      <w:lvlText w:val="%1."/>
      <w:lvlJc w:val="left"/>
      <w:pPr>
        <w:ind w:left="425" w:hanging="425"/>
      </w:pPr>
      <w:rPr>
        <w:rFonts w:hint="default"/>
      </w:rPr>
    </w:lvl>
  </w:abstractNum>
  <w:abstractNum w:abstractNumId="3">
    <w:nsid w:val="EA2BC2D9"/>
    <w:multiLevelType w:val="singleLevel"/>
    <w:tmpl w:val="EA2BC2D9"/>
    <w:lvl w:ilvl="0" w:tentative="0">
      <w:start w:val="1"/>
      <w:numFmt w:val="decimal"/>
      <w:lvlText w:val="%1."/>
      <w:lvlJc w:val="left"/>
      <w:pPr>
        <w:ind w:left="425" w:hanging="425"/>
      </w:pPr>
      <w:rPr>
        <w:rFonts w:hint="default"/>
      </w:rPr>
    </w:lvl>
  </w:abstractNum>
  <w:abstractNum w:abstractNumId="4">
    <w:nsid w:val="00000006"/>
    <w:multiLevelType w:val="multilevel"/>
    <w:tmpl w:val="00000006"/>
    <w:lvl w:ilvl="0" w:tentative="0">
      <w:start w:val="1"/>
      <w:numFmt w:val="lowerLetter"/>
      <w:lvlText w:val="%1)"/>
      <w:lvlJc w:val="left"/>
      <w:pPr>
        <w:tabs>
          <w:tab w:val="left" w:pos="1413"/>
        </w:tabs>
        <w:ind w:left="1413" w:hanging="420"/>
      </w:pPr>
    </w:lvl>
    <w:lvl w:ilvl="1" w:tentative="0">
      <w:start w:val="1"/>
      <w:numFmt w:val="decimal"/>
      <w:lvlText w:val="%2)"/>
      <w:lvlJc w:val="left"/>
      <w:pPr>
        <w:tabs>
          <w:tab w:val="left" w:pos="1113"/>
        </w:tabs>
        <w:ind w:left="1113" w:hanging="420"/>
      </w:pPr>
    </w:lvl>
    <w:lvl w:ilvl="2" w:tentative="0">
      <w:start w:val="1"/>
      <w:numFmt w:val="lowerRoman"/>
      <w:lvlText w:val="%3."/>
      <w:lvlJc w:val="right"/>
      <w:pPr>
        <w:tabs>
          <w:tab w:val="left" w:pos="1533"/>
        </w:tabs>
        <w:ind w:left="1533" w:hanging="420"/>
      </w:pPr>
    </w:lvl>
    <w:lvl w:ilvl="3" w:tentative="0">
      <w:start w:val="1"/>
      <w:numFmt w:val="decimal"/>
      <w:lvlText w:val="%4."/>
      <w:lvlJc w:val="left"/>
      <w:pPr>
        <w:tabs>
          <w:tab w:val="left" w:pos="1953"/>
        </w:tabs>
        <w:ind w:left="1953" w:hanging="420"/>
      </w:pPr>
    </w:lvl>
    <w:lvl w:ilvl="4" w:tentative="0">
      <w:start w:val="1"/>
      <w:numFmt w:val="lowerLetter"/>
      <w:lvlText w:val="%5)"/>
      <w:lvlJc w:val="left"/>
      <w:pPr>
        <w:tabs>
          <w:tab w:val="left" w:pos="2373"/>
        </w:tabs>
        <w:ind w:left="2373" w:hanging="420"/>
      </w:pPr>
    </w:lvl>
    <w:lvl w:ilvl="5" w:tentative="0">
      <w:start w:val="1"/>
      <w:numFmt w:val="lowerRoman"/>
      <w:lvlText w:val="%6."/>
      <w:lvlJc w:val="right"/>
      <w:pPr>
        <w:tabs>
          <w:tab w:val="left" w:pos="2793"/>
        </w:tabs>
        <w:ind w:left="2793" w:hanging="420"/>
      </w:pPr>
    </w:lvl>
    <w:lvl w:ilvl="6" w:tentative="0">
      <w:start w:val="1"/>
      <w:numFmt w:val="decimal"/>
      <w:lvlText w:val="%7."/>
      <w:lvlJc w:val="left"/>
      <w:pPr>
        <w:tabs>
          <w:tab w:val="left" w:pos="3213"/>
        </w:tabs>
        <w:ind w:left="3213" w:hanging="420"/>
      </w:pPr>
    </w:lvl>
    <w:lvl w:ilvl="7" w:tentative="0">
      <w:start w:val="1"/>
      <w:numFmt w:val="lowerLetter"/>
      <w:lvlText w:val="%8)"/>
      <w:lvlJc w:val="left"/>
      <w:pPr>
        <w:tabs>
          <w:tab w:val="left" w:pos="3633"/>
        </w:tabs>
        <w:ind w:left="3633" w:hanging="420"/>
      </w:pPr>
    </w:lvl>
    <w:lvl w:ilvl="8" w:tentative="0">
      <w:start w:val="1"/>
      <w:numFmt w:val="lowerRoman"/>
      <w:lvlText w:val="%9."/>
      <w:lvlJc w:val="right"/>
      <w:pPr>
        <w:tabs>
          <w:tab w:val="left" w:pos="4053"/>
        </w:tabs>
        <w:ind w:left="4053" w:hanging="420"/>
      </w:pPr>
    </w:lvl>
  </w:abstractNum>
  <w:abstractNum w:abstractNumId="5">
    <w:nsid w:val="00000008"/>
    <w:multiLevelType w:val="multilevel"/>
    <w:tmpl w:val="00000008"/>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6">
    <w:nsid w:val="0000000B"/>
    <w:multiLevelType w:val="multilevel"/>
    <w:tmpl w:val="0000000B"/>
    <w:lvl w:ilvl="0" w:tentative="0">
      <w:start w:val="1"/>
      <w:numFmt w:val="lowerLetter"/>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0000000D"/>
    <w:multiLevelType w:val="multilevel"/>
    <w:tmpl w:val="0000000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0F"/>
    <w:multiLevelType w:val="multilevel"/>
    <w:tmpl w:val="0000000F"/>
    <w:lvl w:ilvl="0" w:tentative="0">
      <w:start w:val="1"/>
      <w:numFmt w:val="lowerLetter"/>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00000010"/>
    <w:multiLevelType w:val="multilevel"/>
    <w:tmpl w:val="00000010"/>
    <w:lvl w:ilvl="0" w:tentative="0">
      <w:start w:val="1"/>
      <w:numFmt w:val="lowerLetter"/>
      <w:lvlText w:val="%1)"/>
      <w:lvlJc w:val="left"/>
      <w:pPr>
        <w:tabs>
          <w:tab w:val="left" w:pos="1380"/>
        </w:tabs>
        <w:ind w:left="1380" w:hanging="420"/>
      </w:p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10">
    <w:nsid w:val="00000011"/>
    <w:multiLevelType w:val="multilevel"/>
    <w:tmpl w:val="00000011"/>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1">
    <w:nsid w:val="00000012"/>
    <w:multiLevelType w:val="multilevel"/>
    <w:tmpl w:val="00000012"/>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0000013"/>
    <w:multiLevelType w:val="multilevel"/>
    <w:tmpl w:val="00000013"/>
    <w:lvl w:ilvl="0" w:tentative="0">
      <w:start w:val="1"/>
      <w:numFmt w:val="chineseCountingThousand"/>
      <w:lvlText w:val="(%1)"/>
      <w:lvlJc w:val="left"/>
      <w:pPr>
        <w:tabs>
          <w:tab w:val="left" w:pos="980"/>
        </w:tabs>
        <w:ind w:left="980" w:hanging="420"/>
      </w:pPr>
    </w:lvl>
    <w:lvl w:ilvl="1" w:tentative="0">
      <w:start w:val="1"/>
      <w:numFmt w:val="upp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3">
    <w:nsid w:val="00000014"/>
    <w:multiLevelType w:val="multilevel"/>
    <w:tmpl w:val="00000014"/>
    <w:lvl w:ilvl="0" w:tentative="0">
      <w:start w:val="1"/>
      <w:numFmt w:val="decimal"/>
      <w:lvlText w:val="%1、"/>
      <w:lvlJc w:val="left"/>
      <w:pPr>
        <w:tabs>
          <w:tab w:val="left" w:pos="720"/>
        </w:tabs>
        <w:ind w:left="720" w:hanging="7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5"/>
    <w:multiLevelType w:val="multilevel"/>
    <w:tmpl w:val="00000015"/>
    <w:lvl w:ilvl="0" w:tentative="0">
      <w:start w:val="1"/>
      <w:numFmt w:val="lowerLetter"/>
      <w:lvlText w:val="%1)"/>
      <w:lvlJc w:val="left"/>
      <w:pPr>
        <w:tabs>
          <w:tab w:val="left" w:pos="1380"/>
        </w:tabs>
        <w:ind w:left="1380" w:hanging="420"/>
      </w:p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15">
    <w:nsid w:val="18DB4846"/>
    <w:multiLevelType w:val="multilevel"/>
    <w:tmpl w:val="18DB4846"/>
    <w:lvl w:ilvl="0" w:tentative="0">
      <w:start w:val="1"/>
      <w:numFmt w:val="chineseCountingThousand"/>
      <w:lvlText w:val="%1、"/>
      <w:lvlJc w:val="left"/>
      <w:pPr>
        <w:tabs>
          <w:tab w:val="left" w:pos="420"/>
        </w:tabs>
        <w:ind w:left="420" w:hanging="42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5"/>
  </w:num>
  <w:num w:numId="2">
    <w:abstractNumId w:val="0"/>
  </w:num>
  <w:num w:numId="3">
    <w:abstractNumId w:val="2"/>
  </w:num>
  <w:num w:numId="4">
    <w:abstractNumId w:val="1"/>
  </w:num>
  <w:num w:numId="5">
    <w:abstractNumId w:val="3"/>
  </w:num>
  <w:num w:numId="6">
    <w:abstractNumId w:val="5"/>
  </w:num>
  <w:num w:numId="7">
    <w:abstractNumId w:val="4"/>
  </w:num>
  <w:num w:numId="8">
    <w:abstractNumId w:val="6"/>
  </w:num>
  <w:num w:numId="9">
    <w:abstractNumId w:val="8"/>
  </w:num>
  <w:num w:numId="10">
    <w:abstractNumId w:val="7"/>
  </w:num>
  <w:num w:numId="11">
    <w:abstractNumId w:val="11"/>
  </w:num>
  <w:num w:numId="12">
    <w:abstractNumId w:val="10"/>
  </w:num>
  <w:num w:numId="13">
    <w:abstractNumId w:val="14"/>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F7DC4"/>
    <w:rsid w:val="00003EC1"/>
    <w:rsid w:val="00005064"/>
    <w:rsid w:val="00015CB8"/>
    <w:rsid w:val="00015D4D"/>
    <w:rsid w:val="00016FFB"/>
    <w:rsid w:val="00020361"/>
    <w:rsid w:val="0002393F"/>
    <w:rsid w:val="0002576D"/>
    <w:rsid w:val="0003068E"/>
    <w:rsid w:val="000362BB"/>
    <w:rsid w:val="00042D68"/>
    <w:rsid w:val="000521AC"/>
    <w:rsid w:val="00061386"/>
    <w:rsid w:val="00061F05"/>
    <w:rsid w:val="00065470"/>
    <w:rsid w:val="000858C3"/>
    <w:rsid w:val="000A6B04"/>
    <w:rsid w:val="000B7C6A"/>
    <w:rsid w:val="000C3143"/>
    <w:rsid w:val="000E4293"/>
    <w:rsid w:val="000E58B6"/>
    <w:rsid w:val="000E6552"/>
    <w:rsid w:val="00104346"/>
    <w:rsid w:val="00104C95"/>
    <w:rsid w:val="00105779"/>
    <w:rsid w:val="00122FDF"/>
    <w:rsid w:val="00126216"/>
    <w:rsid w:val="001425B5"/>
    <w:rsid w:val="00142F0F"/>
    <w:rsid w:val="0017596A"/>
    <w:rsid w:val="001942C2"/>
    <w:rsid w:val="001B0B54"/>
    <w:rsid w:val="001B653F"/>
    <w:rsid w:val="001C095A"/>
    <w:rsid w:val="001C1D25"/>
    <w:rsid w:val="001C722D"/>
    <w:rsid w:val="001E3043"/>
    <w:rsid w:val="002134BB"/>
    <w:rsid w:val="002162D6"/>
    <w:rsid w:val="00223176"/>
    <w:rsid w:val="00225489"/>
    <w:rsid w:val="00226F7D"/>
    <w:rsid w:val="00231351"/>
    <w:rsid w:val="00233059"/>
    <w:rsid w:val="00233C3C"/>
    <w:rsid w:val="00237BBC"/>
    <w:rsid w:val="00256709"/>
    <w:rsid w:val="00260145"/>
    <w:rsid w:val="002643A9"/>
    <w:rsid w:val="002671EC"/>
    <w:rsid w:val="00273CE0"/>
    <w:rsid w:val="002777A6"/>
    <w:rsid w:val="00285AE8"/>
    <w:rsid w:val="00293AC8"/>
    <w:rsid w:val="002A084E"/>
    <w:rsid w:val="002A65F2"/>
    <w:rsid w:val="002C3477"/>
    <w:rsid w:val="002C685A"/>
    <w:rsid w:val="002F3AAC"/>
    <w:rsid w:val="002F7109"/>
    <w:rsid w:val="00302842"/>
    <w:rsid w:val="00304697"/>
    <w:rsid w:val="00312F5B"/>
    <w:rsid w:val="00315B4C"/>
    <w:rsid w:val="00326011"/>
    <w:rsid w:val="003606A4"/>
    <w:rsid w:val="00372F6A"/>
    <w:rsid w:val="00375124"/>
    <w:rsid w:val="003775E8"/>
    <w:rsid w:val="003843CF"/>
    <w:rsid w:val="00392DA3"/>
    <w:rsid w:val="0039486B"/>
    <w:rsid w:val="003964E5"/>
    <w:rsid w:val="003A0613"/>
    <w:rsid w:val="003A39BD"/>
    <w:rsid w:val="003A7227"/>
    <w:rsid w:val="003B4276"/>
    <w:rsid w:val="003B67F4"/>
    <w:rsid w:val="003B78D0"/>
    <w:rsid w:val="003C6F63"/>
    <w:rsid w:val="003D03AE"/>
    <w:rsid w:val="003E0765"/>
    <w:rsid w:val="003E1497"/>
    <w:rsid w:val="003E1855"/>
    <w:rsid w:val="003E2447"/>
    <w:rsid w:val="003E3AC6"/>
    <w:rsid w:val="003F32D3"/>
    <w:rsid w:val="003F7A8F"/>
    <w:rsid w:val="0040468E"/>
    <w:rsid w:val="00407039"/>
    <w:rsid w:val="0041074E"/>
    <w:rsid w:val="00422C4E"/>
    <w:rsid w:val="00424C59"/>
    <w:rsid w:val="00427B7C"/>
    <w:rsid w:val="00432649"/>
    <w:rsid w:val="004378DA"/>
    <w:rsid w:val="0044410C"/>
    <w:rsid w:val="00446265"/>
    <w:rsid w:val="00447D97"/>
    <w:rsid w:val="004513DF"/>
    <w:rsid w:val="0046556E"/>
    <w:rsid w:val="004663CA"/>
    <w:rsid w:val="004721B1"/>
    <w:rsid w:val="00472B04"/>
    <w:rsid w:val="004747BA"/>
    <w:rsid w:val="0048578D"/>
    <w:rsid w:val="00494367"/>
    <w:rsid w:val="0049562F"/>
    <w:rsid w:val="004B1F9C"/>
    <w:rsid w:val="004B37C0"/>
    <w:rsid w:val="004C030A"/>
    <w:rsid w:val="004E0BB7"/>
    <w:rsid w:val="004E4032"/>
    <w:rsid w:val="004E589B"/>
    <w:rsid w:val="004E7ED0"/>
    <w:rsid w:val="004E7F29"/>
    <w:rsid w:val="004F34B5"/>
    <w:rsid w:val="00507736"/>
    <w:rsid w:val="00512EC2"/>
    <w:rsid w:val="00522EDF"/>
    <w:rsid w:val="0052587D"/>
    <w:rsid w:val="00527C56"/>
    <w:rsid w:val="005441F4"/>
    <w:rsid w:val="00544BD1"/>
    <w:rsid w:val="005523E1"/>
    <w:rsid w:val="00555CE9"/>
    <w:rsid w:val="0055688D"/>
    <w:rsid w:val="005632FE"/>
    <w:rsid w:val="00583F73"/>
    <w:rsid w:val="0059114D"/>
    <w:rsid w:val="005A3147"/>
    <w:rsid w:val="005A3DF1"/>
    <w:rsid w:val="005A5089"/>
    <w:rsid w:val="005C7A0B"/>
    <w:rsid w:val="005D36F9"/>
    <w:rsid w:val="005D46C0"/>
    <w:rsid w:val="005F6F38"/>
    <w:rsid w:val="0060515A"/>
    <w:rsid w:val="00607A71"/>
    <w:rsid w:val="00620978"/>
    <w:rsid w:val="006212D9"/>
    <w:rsid w:val="00624482"/>
    <w:rsid w:val="006419BC"/>
    <w:rsid w:val="0064582C"/>
    <w:rsid w:val="00645D97"/>
    <w:rsid w:val="006522C7"/>
    <w:rsid w:val="00657E37"/>
    <w:rsid w:val="00663983"/>
    <w:rsid w:val="006665B8"/>
    <w:rsid w:val="00673501"/>
    <w:rsid w:val="006A5E8F"/>
    <w:rsid w:val="006B1637"/>
    <w:rsid w:val="006B2D6F"/>
    <w:rsid w:val="006C39A4"/>
    <w:rsid w:val="006C3EFB"/>
    <w:rsid w:val="006E182B"/>
    <w:rsid w:val="006E38A0"/>
    <w:rsid w:val="006E7D62"/>
    <w:rsid w:val="006F6487"/>
    <w:rsid w:val="006F6F74"/>
    <w:rsid w:val="00702601"/>
    <w:rsid w:val="00715E97"/>
    <w:rsid w:val="00725D60"/>
    <w:rsid w:val="0073150D"/>
    <w:rsid w:val="00732C59"/>
    <w:rsid w:val="00733246"/>
    <w:rsid w:val="00733D23"/>
    <w:rsid w:val="00752B1D"/>
    <w:rsid w:val="00756023"/>
    <w:rsid w:val="00762FF1"/>
    <w:rsid w:val="00763091"/>
    <w:rsid w:val="00765F1B"/>
    <w:rsid w:val="00770422"/>
    <w:rsid w:val="007723F6"/>
    <w:rsid w:val="0077511A"/>
    <w:rsid w:val="00780567"/>
    <w:rsid w:val="007957F7"/>
    <w:rsid w:val="0079595D"/>
    <w:rsid w:val="007A1E0E"/>
    <w:rsid w:val="007A4D40"/>
    <w:rsid w:val="007B1514"/>
    <w:rsid w:val="007B421D"/>
    <w:rsid w:val="007C23BE"/>
    <w:rsid w:val="007C25D8"/>
    <w:rsid w:val="007C634A"/>
    <w:rsid w:val="007C7874"/>
    <w:rsid w:val="007D6A94"/>
    <w:rsid w:val="007D786F"/>
    <w:rsid w:val="007E1243"/>
    <w:rsid w:val="007E2DC7"/>
    <w:rsid w:val="007E55AE"/>
    <w:rsid w:val="007F0A67"/>
    <w:rsid w:val="007F54BA"/>
    <w:rsid w:val="00806C0A"/>
    <w:rsid w:val="008071FC"/>
    <w:rsid w:val="008104DF"/>
    <w:rsid w:val="00822D0D"/>
    <w:rsid w:val="0082546F"/>
    <w:rsid w:val="00837888"/>
    <w:rsid w:val="008407EA"/>
    <w:rsid w:val="0084360E"/>
    <w:rsid w:val="00855BE1"/>
    <w:rsid w:val="00867A25"/>
    <w:rsid w:val="00880DDA"/>
    <w:rsid w:val="0088457D"/>
    <w:rsid w:val="00892755"/>
    <w:rsid w:val="00897863"/>
    <w:rsid w:val="008A0E16"/>
    <w:rsid w:val="008B1CA3"/>
    <w:rsid w:val="008B6955"/>
    <w:rsid w:val="008C440B"/>
    <w:rsid w:val="008C4DA0"/>
    <w:rsid w:val="008C6070"/>
    <w:rsid w:val="008E0847"/>
    <w:rsid w:val="008E54D4"/>
    <w:rsid w:val="008F1AB6"/>
    <w:rsid w:val="008F73AB"/>
    <w:rsid w:val="00906C9D"/>
    <w:rsid w:val="009119C2"/>
    <w:rsid w:val="00915B79"/>
    <w:rsid w:val="0092453E"/>
    <w:rsid w:val="00925007"/>
    <w:rsid w:val="009356E7"/>
    <w:rsid w:val="00940D1A"/>
    <w:rsid w:val="0095293B"/>
    <w:rsid w:val="00964015"/>
    <w:rsid w:val="009670E3"/>
    <w:rsid w:val="0097535E"/>
    <w:rsid w:val="0097658F"/>
    <w:rsid w:val="0098096E"/>
    <w:rsid w:val="00983F2D"/>
    <w:rsid w:val="00985283"/>
    <w:rsid w:val="00992552"/>
    <w:rsid w:val="00994DB5"/>
    <w:rsid w:val="009965E3"/>
    <w:rsid w:val="009A1CF6"/>
    <w:rsid w:val="009A2A04"/>
    <w:rsid w:val="009A38D9"/>
    <w:rsid w:val="009A47E0"/>
    <w:rsid w:val="009A48B5"/>
    <w:rsid w:val="009B50BD"/>
    <w:rsid w:val="009C5E97"/>
    <w:rsid w:val="009D22E5"/>
    <w:rsid w:val="009D5533"/>
    <w:rsid w:val="009E0E66"/>
    <w:rsid w:val="009E3333"/>
    <w:rsid w:val="009F3F5E"/>
    <w:rsid w:val="00A1450B"/>
    <w:rsid w:val="00A16ABF"/>
    <w:rsid w:val="00A22283"/>
    <w:rsid w:val="00A23763"/>
    <w:rsid w:val="00A24F64"/>
    <w:rsid w:val="00A41DD6"/>
    <w:rsid w:val="00A553B0"/>
    <w:rsid w:val="00A607E4"/>
    <w:rsid w:val="00A633F7"/>
    <w:rsid w:val="00A63A92"/>
    <w:rsid w:val="00A65FE2"/>
    <w:rsid w:val="00A67FD0"/>
    <w:rsid w:val="00A77648"/>
    <w:rsid w:val="00A85129"/>
    <w:rsid w:val="00A8713F"/>
    <w:rsid w:val="00A87934"/>
    <w:rsid w:val="00A87A62"/>
    <w:rsid w:val="00AA46DB"/>
    <w:rsid w:val="00AA7909"/>
    <w:rsid w:val="00AB219E"/>
    <w:rsid w:val="00AB42B9"/>
    <w:rsid w:val="00AD1404"/>
    <w:rsid w:val="00AE025D"/>
    <w:rsid w:val="00AF1DFD"/>
    <w:rsid w:val="00AF3569"/>
    <w:rsid w:val="00AF6C0A"/>
    <w:rsid w:val="00B1007E"/>
    <w:rsid w:val="00B20E3B"/>
    <w:rsid w:val="00B228D5"/>
    <w:rsid w:val="00B24D45"/>
    <w:rsid w:val="00B33C54"/>
    <w:rsid w:val="00B34704"/>
    <w:rsid w:val="00B434DE"/>
    <w:rsid w:val="00B569D2"/>
    <w:rsid w:val="00B56D1E"/>
    <w:rsid w:val="00B6319B"/>
    <w:rsid w:val="00B73B8C"/>
    <w:rsid w:val="00B745CF"/>
    <w:rsid w:val="00B81DC4"/>
    <w:rsid w:val="00B85561"/>
    <w:rsid w:val="00B90192"/>
    <w:rsid w:val="00B901AE"/>
    <w:rsid w:val="00BA00FF"/>
    <w:rsid w:val="00BA1C80"/>
    <w:rsid w:val="00BB277F"/>
    <w:rsid w:val="00BB47F9"/>
    <w:rsid w:val="00BC1F5E"/>
    <w:rsid w:val="00BC5F5A"/>
    <w:rsid w:val="00BD1C4E"/>
    <w:rsid w:val="00BD5DC0"/>
    <w:rsid w:val="00BF7DC4"/>
    <w:rsid w:val="00C01126"/>
    <w:rsid w:val="00C06FAC"/>
    <w:rsid w:val="00C12896"/>
    <w:rsid w:val="00C130F5"/>
    <w:rsid w:val="00C13802"/>
    <w:rsid w:val="00C20F18"/>
    <w:rsid w:val="00C25882"/>
    <w:rsid w:val="00C30243"/>
    <w:rsid w:val="00C32A6E"/>
    <w:rsid w:val="00C3412D"/>
    <w:rsid w:val="00C40346"/>
    <w:rsid w:val="00C407A6"/>
    <w:rsid w:val="00C43933"/>
    <w:rsid w:val="00C443F0"/>
    <w:rsid w:val="00C73456"/>
    <w:rsid w:val="00C83CD1"/>
    <w:rsid w:val="00C849B5"/>
    <w:rsid w:val="00C857DC"/>
    <w:rsid w:val="00C87AC7"/>
    <w:rsid w:val="00C904D0"/>
    <w:rsid w:val="00C90639"/>
    <w:rsid w:val="00C90B4A"/>
    <w:rsid w:val="00C92F14"/>
    <w:rsid w:val="00C956C9"/>
    <w:rsid w:val="00CA6577"/>
    <w:rsid w:val="00CB5A87"/>
    <w:rsid w:val="00CB7A45"/>
    <w:rsid w:val="00CC1982"/>
    <w:rsid w:val="00CC2A4D"/>
    <w:rsid w:val="00CC4D0A"/>
    <w:rsid w:val="00CE0928"/>
    <w:rsid w:val="00CE09D9"/>
    <w:rsid w:val="00CE25E4"/>
    <w:rsid w:val="00CE2628"/>
    <w:rsid w:val="00CE3C5D"/>
    <w:rsid w:val="00CE5F9D"/>
    <w:rsid w:val="00CF1112"/>
    <w:rsid w:val="00CF3C36"/>
    <w:rsid w:val="00CF4E39"/>
    <w:rsid w:val="00CF66CF"/>
    <w:rsid w:val="00CF79A1"/>
    <w:rsid w:val="00D11FAF"/>
    <w:rsid w:val="00D216DD"/>
    <w:rsid w:val="00D26CCE"/>
    <w:rsid w:val="00D30FA2"/>
    <w:rsid w:val="00D335CC"/>
    <w:rsid w:val="00D3752C"/>
    <w:rsid w:val="00D478D1"/>
    <w:rsid w:val="00D5100A"/>
    <w:rsid w:val="00D517AC"/>
    <w:rsid w:val="00D51CAE"/>
    <w:rsid w:val="00D632D8"/>
    <w:rsid w:val="00D63968"/>
    <w:rsid w:val="00D760EA"/>
    <w:rsid w:val="00D9607B"/>
    <w:rsid w:val="00DA10C7"/>
    <w:rsid w:val="00DA235B"/>
    <w:rsid w:val="00DB1341"/>
    <w:rsid w:val="00DB4FF7"/>
    <w:rsid w:val="00DB678D"/>
    <w:rsid w:val="00E06FA4"/>
    <w:rsid w:val="00E06FCD"/>
    <w:rsid w:val="00E11635"/>
    <w:rsid w:val="00E22BE0"/>
    <w:rsid w:val="00E24876"/>
    <w:rsid w:val="00E26CBD"/>
    <w:rsid w:val="00E330CA"/>
    <w:rsid w:val="00E43646"/>
    <w:rsid w:val="00E540A5"/>
    <w:rsid w:val="00E566A8"/>
    <w:rsid w:val="00E632A0"/>
    <w:rsid w:val="00E7089D"/>
    <w:rsid w:val="00E719C9"/>
    <w:rsid w:val="00E83876"/>
    <w:rsid w:val="00E90B7D"/>
    <w:rsid w:val="00EA0AE3"/>
    <w:rsid w:val="00EA1AFE"/>
    <w:rsid w:val="00EB0619"/>
    <w:rsid w:val="00EB3D61"/>
    <w:rsid w:val="00EC0BB1"/>
    <w:rsid w:val="00EC0F44"/>
    <w:rsid w:val="00EC0FE0"/>
    <w:rsid w:val="00EC167C"/>
    <w:rsid w:val="00EC4EBF"/>
    <w:rsid w:val="00EC5896"/>
    <w:rsid w:val="00EF106D"/>
    <w:rsid w:val="00EF42CA"/>
    <w:rsid w:val="00EF4DF4"/>
    <w:rsid w:val="00F04D08"/>
    <w:rsid w:val="00F11A81"/>
    <w:rsid w:val="00F15FD8"/>
    <w:rsid w:val="00F16C34"/>
    <w:rsid w:val="00F216E5"/>
    <w:rsid w:val="00F21A3E"/>
    <w:rsid w:val="00F2734D"/>
    <w:rsid w:val="00F30130"/>
    <w:rsid w:val="00F34A2A"/>
    <w:rsid w:val="00F352B7"/>
    <w:rsid w:val="00F41697"/>
    <w:rsid w:val="00F52AC4"/>
    <w:rsid w:val="00F73133"/>
    <w:rsid w:val="00F7668D"/>
    <w:rsid w:val="00F9365E"/>
    <w:rsid w:val="00FA34FB"/>
    <w:rsid w:val="00FB3231"/>
    <w:rsid w:val="00FC2603"/>
    <w:rsid w:val="00FC55AF"/>
    <w:rsid w:val="00FD183A"/>
    <w:rsid w:val="00FD58AB"/>
    <w:rsid w:val="00FE2216"/>
    <w:rsid w:val="00FE45C6"/>
    <w:rsid w:val="00FE4E50"/>
    <w:rsid w:val="00FF1679"/>
    <w:rsid w:val="02B836B4"/>
    <w:rsid w:val="05506766"/>
    <w:rsid w:val="06A1256A"/>
    <w:rsid w:val="134102F4"/>
    <w:rsid w:val="1D050182"/>
    <w:rsid w:val="326E721C"/>
    <w:rsid w:val="6B1A4B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4"/>
    <w:qFormat/>
    <w:uiPriority w:val="99"/>
    <w:rPr>
      <w:rFonts w:ascii="宋体"/>
      <w:sz w:val="18"/>
      <w:szCs w:val="18"/>
    </w:rPr>
  </w:style>
  <w:style w:type="paragraph" w:styleId="4">
    <w:name w:val="Date"/>
    <w:basedOn w:val="1"/>
    <w:next w:val="1"/>
    <w:link w:val="20"/>
    <w:qFormat/>
    <w:uiPriority w:val="99"/>
    <w:pPr>
      <w:ind w:left="100" w:leftChars="2500"/>
    </w:pPr>
  </w:style>
  <w:style w:type="paragraph" w:styleId="5">
    <w:name w:val="Body Text Indent 2"/>
    <w:basedOn w:val="1"/>
    <w:link w:val="23"/>
    <w:qFormat/>
    <w:uiPriority w:val="99"/>
    <w:pPr>
      <w:spacing w:line="300" w:lineRule="auto"/>
      <w:ind w:firstLine="425"/>
    </w:pPr>
    <w:rPr>
      <w:rFonts w:ascii="宋体"/>
      <w:szCs w:val="20"/>
    </w:rPr>
  </w:style>
  <w:style w:type="paragraph" w:styleId="6">
    <w:name w:val="Balloon Text"/>
    <w:basedOn w:val="1"/>
    <w:link w:val="19"/>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00"/>
      <w:u w:val="none"/>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4">
    <w:name w:val="Table Theme"/>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5">
    <w:name w:val="Table Elegant"/>
    <w:basedOn w:val="1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character" w:customStyle="1" w:styleId="16">
    <w:name w:val="标题 1 Char"/>
    <w:basedOn w:val="9"/>
    <w:link w:val="2"/>
    <w:qFormat/>
    <w:locked/>
    <w:uiPriority w:val="99"/>
    <w:rPr>
      <w:rFonts w:cs="Times New Roman"/>
      <w:b/>
      <w:bCs/>
      <w:kern w:val="44"/>
      <w:sz w:val="44"/>
      <w:szCs w:val="44"/>
    </w:rPr>
  </w:style>
  <w:style w:type="paragraph" w:customStyle="1" w:styleId="17">
    <w:name w:val="Char"/>
    <w:basedOn w:val="1"/>
    <w:qFormat/>
    <w:uiPriority w:val="99"/>
    <w:pPr>
      <w:widowControl/>
      <w:spacing w:after="160" w:line="240" w:lineRule="exact"/>
      <w:jc w:val="left"/>
    </w:pPr>
    <w:rPr>
      <w:rFonts w:ascii="Verdana" w:hAnsi="Verdana" w:cs="Verdana"/>
      <w:kern w:val="0"/>
      <w:szCs w:val="21"/>
      <w:lang w:eastAsia="en-US"/>
    </w:rPr>
  </w:style>
  <w:style w:type="character" w:customStyle="1" w:styleId="18">
    <w:name w:val="页脚 Char"/>
    <w:basedOn w:val="9"/>
    <w:link w:val="7"/>
    <w:semiHidden/>
    <w:qFormat/>
    <w:locked/>
    <w:uiPriority w:val="99"/>
    <w:rPr>
      <w:rFonts w:cs="Times New Roman"/>
      <w:sz w:val="18"/>
      <w:szCs w:val="18"/>
    </w:rPr>
  </w:style>
  <w:style w:type="character" w:customStyle="1" w:styleId="19">
    <w:name w:val="批注框文本 Char"/>
    <w:basedOn w:val="9"/>
    <w:link w:val="6"/>
    <w:semiHidden/>
    <w:qFormat/>
    <w:locked/>
    <w:uiPriority w:val="99"/>
    <w:rPr>
      <w:rFonts w:cs="Times New Roman"/>
      <w:sz w:val="2"/>
    </w:rPr>
  </w:style>
  <w:style w:type="character" w:customStyle="1" w:styleId="20">
    <w:name w:val="日期 Char"/>
    <w:basedOn w:val="9"/>
    <w:link w:val="4"/>
    <w:semiHidden/>
    <w:qFormat/>
    <w:locked/>
    <w:uiPriority w:val="99"/>
    <w:rPr>
      <w:rFonts w:cs="Times New Roman"/>
      <w:sz w:val="24"/>
      <w:szCs w:val="24"/>
    </w:rPr>
  </w:style>
  <w:style w:type="character" w:customStyle="1" w:styleId="21">
    <w:name w:val="页眉 Char"/>
    <w:basedOn w:val="9"/>
    <w:link w:val="8"/>
    <w:qFormat/>
    <w:locked/>
    <w:uiPriority w:val="99"/>
    <w:rPr>
      <w:rFonts w:cs="Times New Roman"/>
      <w:kern w:val="2"/>
      <w:sz w:val="18"/>
      <w:szCs w:val="18"/>
    </w:rPr>
  </w:style>
  <w:style w:type="paragraph" w:styleId="22">
    <w:name w:val="List Paragraph"/>
    <w:basedOn w:val="1"/>
    <w:qFormat/>
    <w:uiPriority w:val="99"/>
    <w:pPr>
      <w:ind w:firstLine="420" w:firstLineChars="200"/>
    </w:pPr>
  </w:style>
  <w:style w:type="character" w:customStyle="1" w:styleId="23">
    <w:name w:val="正文文本缩进 2 Char"/>
    <w:basedOn w:val="9"/>
    <w:link w:val="5"/>
    <w:qFormat/>
    <w:locked/>
    <w:uiPriority w:val="99"/>
    <w:rPr>
      <w:rFonts w:ascii="宋体" w:cs="Times New Roman"/>
      <w:kern w:val="2"/>
      <w:sz w:val="21"/>
    </w:rPr>
  </w:style>
  <w:style w:type="character" w:customStyle="1" w:styleId="24">
    <w:name w:val="文档结构图 Char"/>
    <w:basedOn w:val="9"/>
    <w:link w:val="3"/>
    <w:qFormat/>
    <w:locked/>
    <w:uiPriority w:val="99"/>
    <w:rPr>
      <w:rFonts w:ascii="宋体" w:cs="Times New Roman"/>
      <w:kern w:val="2"/>
      <w:sz w:val="18"/>
      <w:szCs w:val="18"/>
    </w:rPr>
  </w:style>
  <w:style w:type="paragraph" w:styleId="25">
    <w:name w:val="No Spacing"/>
    <w:link w:val="2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无间隔 Char"/>
    <w:link w:val="25"/>
    <w:qFormat/>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encent%20Files\1165984980\FileRecv\&#25964;&#36132;&#21608;&#36716;&#25151;&#37319;&#36141;&#32500;&#20462;&#37197;&#20214;&#25253;&#20215;&#35810;&#20215;&#209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敬贤周转房采购维修配件报价询价函</Template>
  <Company>XUJC</Company>
  <Pages>3</Pages>
  <Words>359</Words>
  <Characters>2047</Characters>
  <Lines>17</Lines>
  <Paragraphs>4</Paragraphs>
  <TotalTime>2</TotalTime>
  <ScaleCrop>false</ScaleCrop>
  <LinksUpToDate>false</LinksUpToDate>
  <CharactersWithSpaces>2402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2016-11-17T09:20:00Z</dcterms:created>
  <dc:creator>微软用户</dc:creator>
  <cp:lastModifiedBy>晋锋wind   </cp:lastModifiedBy>
  <cp:lastPrinted>2016-11-17T05:53:00Z</cp:lastPrinted>
  <dcterms:modified xsi:type="dcterms:W3CDTF">2019-02-18T09:36:28Z</dcterms:modified>
  <dc:title>厦门大学嘉庚学院家具询价清单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