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kern w:val="36"/>
        </w:rPr>
      </w:pPr>
      <w:r>
        <w:rPr>
          <w:rFonts w:hint="eastAsia"/>
          <w:kern w:val="36"/>
        </w:rPr>
        <w:t>厦门大学嘉庚学院询价函</w:t>
      </w:r>
    </w:p>
    <w:p>
      <w:pPr>
        <w:spacing w:line="360" w:lineRule="auto"/>
        <w:rPr>
          <w:rFonts w:hint="eastAsia"/>
          <w:sz w:val="24"/>
        </w:rPr>
      </w:pPr>
    </w:p>
    <w:p>
      <w:pPr>
        <w:spacing w:line="360" w:lineRule="auto"/>
        <w:ind w:left="0" w:leftChars="-95" w:hanging="199" w:hangingChars="83"/>
        <w:jc w:val="left"/>
        <w:rPr>
          <w:rFonts w:hint="eastAsia"/>
          <w:sz w:val="24"/>
        </w:rPr>
      </w:pPr>
      <w:r>
        <w:rPr>
          <w:rFonts w:hint="eastAsia"/>
          <w:sz w:val="24"/>
        </w:rPr>
        <w:t>报价单位：</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（加盖公章）</w:t>
      </w:r>
    </w:p>
    <w:p>
      <w:pPr>
        <w:widowControl/>
        <w:wordWrap w:val="0"/>
        <w:spacing w:line="360" w:lineRule="auto"/>
        <w:ind w:left="0" w:leftChars="-95" w:hanging="199" w:hangingChars="83"/>
        <w:jc w:val="left"/>
        <w:rPr>
          <w:rFonts w:hint="eastAsia" w:ascii="宋体" w:hAnsi="宋体" w:eastAsia="宋体" w:cs="宋体"/>
          <w:kern w:val="0"/>
          <w:sz w:val="24"/>
          <w:lang w:val="en-US" w:eastAsia="zh-CN"/>
        </w:rPr>
      </w:pPr>
      <w:r>
        <w:rPr>
          <w:rFonts w:hint="eastAsia"/>
          <w:sz w:val="24"/>
        </w:rPr>
        <w:t>采购项目：</w:t>
      </w:r>
      <w:r>
        <w:rPr>
          <w:rFonts w:hint="eastAsia"/>
          <w:sz w:val="24"/>
          <w:lang w:val="en-US" w:eastAsia="zh-CN"/>
        </w:rPr>
        <w:t>2019年消控系统维保</w:t>
      </w:r>
    </w:p>
    <w:p>
      <w:pPr>
        <w:spacing w:line="360" w:lineRule="auto"/>
        <w:ind w:left="0" w:leftChars="-95" w:hanging="199" w:hangingChars="83"/>
        <w:jc w:val="left"/>
        <w:rPr>
          <w:rFonts w:hint="eastAsia"/>
          <w:sz w:val="24"/>
        </w:rPr>
      </w:pPr>
      <w:r>
        <w:rPr>
          <w:rFonts w:hint="eastAsia"/>
          <w:sz w:val="24"/>
        </w:rPr>
        <w:t>询价单位：厦门大学嘉庚学院</w:t>
      </w:r>
    </w:p>
    <w:p>
      <w:pPr>
        <w:spacing w:line="360" w:lineRule="auto"/>
        <w:ind w:left="0" w:leftChars="-95" w:hanging="199" w:hangingChars="83"/>
        <w:jc w:val="left"/>
        <w:rPr>
          <w:rFonts w:hint="eastAsia"/>
          <w:sz w:val="24"/>
        </w:rPr>
      </w:pPr>
      <w:r>
        <w:rPr>
          <w:rFonts w:hint="eastAsia"/>
          <w:sz w:val="24"/>
        </w:rPr>
        <w:t xml:space="preserve">联系人：  </w:t>
      </w:r>
      <w:r>
        <w:rPr>
          <w:rFonts w:hint="eastAsia"/>
          <w:sz w:val="24"/>
          <w:lang w:val="en-US" w:eastAsia="zh-CN"/>
        </w:rPr>
        <w:t>程老师、蒋老师</w:t>
      </w:r>
      <w:r>
        <w:rPr>
          <w:rFonts w:hint="eastAsia"/>
          <w:sz w:val="24"/>
        </w:rPr>
        <w:t xml:space="preserve"> </w:t>
      </w:r>
    </w:p>
    <w:p>
      <w:pPr>
        <w:spacing w:line="360" w:lineRule="auto"/>
        <w:ind w:left="0" w:leftChars="-95" w:hanging="199" w:hangingChars="83"/>
        <w:jc w:val="left"/>
        <w:rPr>
          <w:rFonts w:hint="eastAsia"/>
          <w:sz w:val="24"/>
        </w:rPr>
      </w:pPr>
      <w:r>
        <w:rPr>
          <w:rFonts w:hint="eastAsia"/>
          <w:sz w:val="24"/>
        </w:rPr>
        <w:t xml:space="preserve">联系方式：电话：0596—6288524 </w:t>
      </w:r>
    </w:p>
    <w:p>
      <w:pPr>
        <w:widowControl/>
        <w:numPr>
          <w:ilvl w:val="0"/>
          <w:numId w:val="1"/>
        </w:numPr>
        <w:wordWrap w:val="0"/>
        <w:spacing w:line="360" w:lineRule="auto"/>
        <w:jc w:val="left"/>
        <w:rPr>
          <w:rFonts w:cs="宋体"/>
          <w:b/>
          <w:kern w:val="0"/>
          <w:sz w:val="24"/>
        </w:rPr>
      </w:pPr>
      <w:r>
        <w:rPr>
          <w:rFonts w:hint="eastAsia" w:cs="宋体"/>
          <w:b/>
          <w:kern w:val="0"/>
          <w:sz w:val="24"/>
          <w:lang w:eastAsia="zh-CN"/>
        </w:rPr>
        <w:t>报价明细</w:t>
      </w:r>
    </w:p>
    <w:p>
      <w:pPr>
        <w:numPr>
          <w:ilvl w:val="0"/>
          <w:numId w:val="2"/>
        </w:numPr>
        <w:spacing w:line="500" w:lineRule="exact"/>
        <w:ind w:left="425" w:leftChars="0" w:hanging="425" w:firstLineChars="0"/>
        <w:rPr>
          <w:rFonts w:cs="宋体"/>
          <w:b/>
          <w:kern w:val="0"/>
          <w:sz w:val="24"/>
        </w:rPr>
      </w:pPr>
      <w:r>
        <w:rPr>
          <w:rFonts w:hint="eastAsia" w:cs="宋体"/>
          <w:b/>
          <w:kern w:val="0"/>
          <w:sz w:val="24"/>
          <w:lang w:eastAsia="zh-CN"/>
        </w:rPr>
        <w:t>维保报价</w:t>
      </w:r>
    </w:p>
    <w:tbl>
      <w:tblPr>
        <w:tblStyle w:val="12"/>
        <w:tblW w:w="9756" w:type="dxa"/>
        <w:jc w:val="center"/>
        <w:tblInd w:w="0" w:type="dxa"/>
        <w:tblLayout w:type="fixed"/>
        <w:tblCellMar>
          <w:top w:w="0" w:type="dxa"/>
          <w:left w:w="108" w:type="dxa"/>
          <w:bottom w:w="0" w:type="dxa"/>
          <w:right w:w="108" w:type="dxa"/>
        </w:tblCellMar>
      </w:tblPr>
      <w:tblGrid>
        <w:gridCol w:w="680"/>
        <w:gridCol w:w="3856"/>
        <w:gridCol w:w="2410"/>
        <w:gridCol w:w="2810"/>
      </w:tblGrid>
      <w:tr>
        <w:tblPrEx>
          <w:tblLayout w:type="fixed"/>
          <w:tblCellMar>
            <w:top w:w="0" w:type="dxa"/>
            <w:left w:w="108" w:type="dxa"/>
            <w:bottom w:w="0" w:type="dxa"/>
            <w:right w:w="108" w:type="dxa"/>
          </w:tblCellMar>
        </w:tblPrEx>
        <w:trPr>
          <w:trHeight w:val="656"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ind w:left="-273" w:leftChars="-130" w:firstLine="181" w:firstLineChars="75"/>
              <w:jc w:val="center"/>
              <w:rPr>
                <w:rFonts w:ascii="宋体" w:hAnsi="宋体" w:cs="宋体"/>
                <w:b/>
                <w:kern w:val="0"/>
                <w:sz w:val="24"/>
              </w:rPr>
            </w:pPr>
            <w:r>
              <w:rPr>
                <w:rFonts w:hint="eastAsia" w:ascii="宋体" w:hAnsi="宋体" w:cs="宋体"/>
                <w:b/>
                <w:kern w:val="0"/>
                <w:sz w:val="24"/>
              </w:rPr>
              <w:t>序号</w:t>
            </w:r>
          </w:p>
        </w:tc>
        <w:tc>
          <w:tcPr>
            <w:tcW w:w="3856" w:type="dxa"/>
            <w:tcBorders>
              <w:top w:val="single" w:color="auto" w:sz="4" w:space="0"/>
              <w:left w:val="nil"/>
              <w:bottom w:val="single" w:color="auto" w:sz="4" w:space="0"/>
              <w:right w:val="single" w:color="auto" w:sz="4" w:space="0"/>
            </w:tcBorders>
            <w:noWrap w:val="0"/>
            <w:vAlign w:val="center"/>
          </w:tcPr>
          <w:p>
            <w:pPr>
              <w:widowControl/>
              <w:ind w:left="-273" w:leftChars="-130" w:firstLine="181" w:firstLineChars="75"/>
              <w:jc w:val="center"/>
              <w:rPr>
                <w:rFonts w:ascii="宋体" w:hAnsi="宋体" w:cs="宋体"/>
                <w:b/>
                <w:kern w:val="0"/>
                <w:sz w:val="24"/>
              </w:rPr>
            </w:pPr>
            <w:r>
              <w:rPr>
                <w:rFonts w:hint="eastAsia" w:ascii="宋体" w:hAnsi="宋体" w:cs="宋体"/>
                <w:b/>
                <w:kern w:val="0"/>
                <w:sz w:val="24"/>
              </w:rPr>
              <w:t>项目名称</w:t>
            </w:r>
          </w:p>
        </w:tc>
        <w:tc>
          <w:tcPr>
            <w:tcW w:w="2410" w:type="dxa"/>
            <w:tcBorders>
              <w:top w:val="single" w:color="auto" w:sz="4" w:space="0"/>
              <w:left w:val="nil"/>
              <w:bottom w:val="single" w:color="auto" w:sz="4" w:space="0"/>
              <w:right w:val="single" w:color="auto" w:sz="4" w:space="0"/>
            </w:tcBorders>
            <w:noWrap w:val="0"/>
            <w:vAlign w:val="center"/>
          </w:tcPr>
          <w:p>
            <w:pPr>
              <w:widowControl/>
              <w:ind w:left="-273" w:leftChars="-130" w:firstLine="181" w:firstLineChars="75"/>
              <w:jc w:val="center"/>
              <w:rPr>
                <w:rFonts w:ascii="宋体" w:hAnsi="宋体" w:cs="宋体"/>
                <w:b/>
                <w:kern w:val="0"/>
                <w:sz w:val="24"/>
              </w:rPr>
            </w:pPr>
            <w:r>
              <w:rPr>
                <w:rFonts w:hint="eastAsia" w:ascii="宋体" w:hAnsi="宋体" w:cs="宋体"/>
                <w:b/>
                <w:kern w:val="0"/>
                <w:sz w:val="24"/>
              </w:rPr>
              <w:t>报价（元/年）</w:t>
            </w:r>
          </w:p>
        </w:tc>
        <w:tc>
          <w:tcPr>
            <w:tcW w:w="2810" w:type="dxa"/>
            <w:tcBorders>
              <w:top w:val="single" w:color="auto" w:sz="4" w:space="0"/>
              <w:left w:val="nil"/>
              <w:bottom w:val="single" w:color="auto" w:sz="4" w:space="0"/>
              <w:right w:val="single" w:color="auto" w:sz="4" w:space="0"/>
            </w:tcBorders>
            <w:noWrap w:val="0"/>
            <w:vAlign w:val="center"/>
          </w:tcPr>
          <w:p>
            <w:pPr>
              <w:widowControl/>
              <w:ind w:left="-273" w:leftChars="-130" w:firstLine="181" w:firstLineChars="75"/>
              <w:jc w:val="center"/>
              <w:rPr>
                <w:rFonts w:ascii="宋体" w:hAnsi="宋体" w:cs="宋体"/>
                <w:b/>
                <w:kern w:val="0"/>
                <w:sz w:val="24"/>
              </w:rPr>
            </w:pPr>
            <w:r>
              <w:rPr>
                <w:rFonts w:hint="eastAsia" w:ascii="宋体" w:hAnsi="宋体" w:cs="宋体"/>
                <w:b/>
                <w:kern w:val="0"/>
                <w:sz w:val="24"/>
              </w:rPr>
              <w:t>备 注</w:t>
            </w:r>
          </w:p>
        </w:tc>
      </w:tr>
      <w:tr>
        <w:tblPrEx>
          <w:tblLayout w:type="fixed"/>
          <w:tblCellMar>
            <w:top w:w="0" w:type="dxa"/>
            <w:left w:w="108" w:type="dxa"/>
            <w:bottom w:w="0" w:type="dxa"/>
            <w:right w:w="108" w:type="dxa"/>
          </w:tblCellMar>
        </w:tblPrEx>
        <w:trPr>
          <w:trHeight w:val="656"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ind w:left="-273" w:leftChars="-130" w:firstLine="180" w:firstLineChars="75"/>
              <w:jc w:val="center"/>
              <w:rPr>
                <w:rFonts w:hint="eastAsia" w:ascii="宋体" w:hAnsi="宋体" w:cs="宋体"/>
                <w:kern w:val="0"/>
                <w:sz w:val="24"/>
              </w:rPr>
            </w:pPr>
            <w:r>
              <w:rPr>
                <w:rFonts w:hint="eastAsia" w:ascii="宋体" w:hAnsi="宋体" w:cs="宋体"/>
                <w:kern w:val="0"/>
                <w:sz w:val="24"/>
              </w:rPr>
              <w:t>1</w:t>
            </w:r>
          </w:p>
        </w:tc>
        <w:tc>
          <w:tcPr>
            <w:tcW w:w="3856" w:type="dxa"/>
            <w:tcBorders>
              <w:top w:val="nil"/>
              <w:left w:val="nil"/>
              <w:bottom w:val="single" w:color="auto" w:sz="4" w:space="0"/>
              <w:right w:val="single" w:color="auto" w:sz="4" w:space="0"/>
            </w:tcBorders>
            <w:noWrap w:val="0"/>
            <w:vAlign w:val="center"/>
          </w:tcPr>
          <w:p>
            <w:pPr>
              <w:widowControl/>
              <w:ind w:left="-273" w:leftChars="-130" w:firstLine="638" w:firstLineChars="266"/>
              <w:jc w:val="left"/>
              <w:rPr>
                <w:rFonts w:hint="eastAsia" w:ascii="宋体" w:hAnsi="宋体" w:eastAsia="宋体" w:cs="宋体"/>
                <w:kern w:val="0"/>
                <w:sz w:val="24"/>
                <w:lang w:eastAsia="zh-CN"/>
              </w:rPr>
            </w:pPr>
            <w:r>
              <w:rPr>
                <w:rFonts w:hint="eastAsia" w:ascii="宋体" w:hAnsi="宋体" w:cs="宋体"/>
                <w:kern w:val="0"/>
                <w:sz w:val="24"/>
              </w:rPr>
              <w:t>北区食堂</w:t>
            </w:r>
            <w:r>
              <w:rPr>
                <w:rFonts w:hint="eastAsia" w:ascii="宋体" w:hAnsi="宋体" w:cs="宋体"/>
                <w:kern w:val="0"/>
                <w:sz w:val="24"/>
                <w:lang w:eastAsia="zh-CN"/>
              </w:rPr>
              <w:t>消控系统维保</w:t>
            </w:r>
          </w:p>
        </w:tc>
        <w:tc>
          <w:tcPr>
            <w:tcW w:w="2410" w:type="dxa"/>
            <w:tcBorders>
              <w:top w:val="nil"/>
              <w:left w:val="nil"/>
              <w:bottom w:val="single" w:color="auto" w:sz="4" w:space="0"/>
              <w:right w:val="single" w:color="auto" w:sz="4" w:space="0"/>
            </w:tcBorders>
            <w:noWrap w:val="0"/>
            <w:vAlign w:val="center"/>
          </w:tcPr>
          <w:p>
            <w:pPr>
              <w:widowControl/>
              <w:ind w:left="-273" w:leftChars="-130" w:firstLine="180" w:firstLineChars="75"/>
              <w:jc w:val="center"/>
              <w:rPr>
                <w:rFonts w:hint="eastAsia" w:ascii="宋体" w:hAnsi="宋体" w:cs="宋体"/>
                <w:kern w:val="0"/>
                <w:sz w:val="24"/>
              </w:rPr>
            </w:pPr>
          </w:p>
        </w:tc>
        <w:tc>
          <w:tcPr>
            <w:tcW w:w="2810" w:type="dxa"/>
            <w:tcBorders>
              <w:top w:val="nil"/>
              <w:left w:val="nil"/>
              <w:bottom w:val="single" w:color="auto" w:sz="4" w:space="0"/>
              <w:right w:val="single" w:color="auto" w:sz="4" w:space="0"/>
            </w:tcBorders>
            <w:noWrap w:val="0"/>
            <w:vAlign w:val="center"/>
          </w:tcPr>
          <w:p>
            <w:pPr>
              <w:widowControl/>
              <w:ind w:left="-273" w:leftChars="-130" w:firstLine="180" w:firstLineChars="75"/>
              <w:jc w:val="left"/>
              <w:rPr>
                <w:rFonts w:ascii="宋体" w:hAnsi="宋体" w:cs="宋体"/>
                <w:kern w:val="0"/>
                <w:sz w:val="24"/>
              </w:rPr>
            </w:pPr>
          </w:p>
        </w:tc>
      </w:tr>
      <w:tr>
        <w:tblPrEx>
          <w:tblLayout w:type="fixed"/>
          <w:tblCellMar>
            <w:top w:w="0" w:type="dxa"/>
            <w:left w:w="108" w:type="dxa"/>
            <w:bottom w:w="0" w:type="dxa"/>
            <w:right w:w="108" w:type="dxa"/>
          </w:tblCellMar>
        </w:tblPrEx>
        <w:trPr>
          <w:trHeight w:val="656"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ind w:left="-273" w:leftChars="-130" w:firstLine="180" w:firstLineChars="75"/>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c>
          <w:tcPr>
            <w:tcW w:w="3856" w:type="dxa"/>
            <w:tcBorders>
              <w:top w:val="nil"/>
              <w:left w:val="nil"/>
              <w:bottom w:val="single" w:color="auto" w:sz="4" w:space="0"/>
              <w:right w:val="single" w:color="auto" w:sz="4" w:space="0"/>
            </w:tcBorders>
            <w:noWrap w:val="0"/>
            <w:vAlign w:val="center"/>
          </w:tcPr>
          <w:p>
            <w:pPr>
              <w:widowControl/>
              <w:ind w:left="-273" w:leftChars="-130" w:firstLine="638" w:firstLineChars="266"/>
              <w:jc w:val="left"/>
              <w:rPr>
                <w:rFonts w:hint="eastAsia" w:ascii="宋体" w:hAnsi="宋体" w:eastAsia="宋体" w:cs="宋体"/>
                <w:kern w:val="0"/>
                <w:sz w:val="24"/>
                <w:lang w:val="en-US" w:eastAsia="zh-CN"/>
              </w:rPr>
            </w:pPr>
            <w:r>
              <w:rPr>
                <w:rFonts w:hint="eastAsia" w:ascii="宋体" w:hAnsi="宋体" w:cs="宋体"/>
                <w:kern w:val="0"/>
                <w:sz w:val="24"/>
                <w:lang w:eastAsia="zh-CN"/>
              </w:rPr>
              <w:t>凌云</w:t>
            </w:r>
            <w:r>
              <w:rPr>
                <w:rFonts w:hint="eastAsia" w:ascii="宋体" w:hAnsi="宋体" w:cs="宋体"/>
                <w:kern w:val="0"/>
                <w:sz w:val="24"/>
                <w:lang w:val="en-US" w:eastAsia="zh-CN"/>
              </w:rPr>
              <w:t>1-3号楼消控系统</w:t>
            </w:r>
            <w:r>
              <w:rPr>
                <w:rFonts w:hint="eastAsia" w:ascii="宋体" w:hAnsi="宋体" w:cs="宋体"/>
                <w:kern w:val="0"/>
                <w:sz w:val="24"/>
                <w:lang w:eastAsia="zh-CN"/>
              </w:rPr>
              <w:t>维保</w:t>
            </w:r>
          </w:p>
        </w:tc>
        <w:tc>
          <w:tcPr>
            <w:tcW w:w="2410" w:type="dxa"/>
            <w:tcBorders>
              <w:top w:val="nil"/>
              <w:left w:val="nil"/>
              <w:bottom w:val="single" w:color="auto" w:sz="4" w:space="0"/>
              <w:right w:val="single" w:color="auto" w:sz="4" w:space="0"/>
            </w:tcBorders>
            <w:noWrap w:val="0"/>
            <w:vAlign w:val="center"/>
          </w:tcPr>
          <w:p>
            <w:pPr>
              <w:widowControl/>
              <w:ind w:left="-273" w:leftChars="-130" w:firstLine="180" w:firstLineChars="75"/>
              <w:jc w:val="center"/>
              <w:rPr>
                <w:rFonts w:hint="eastAsia" w:ascii="宋体" w:hAnsi="宋体" w:cs="宋体"/>
                <w:kern w:val="0"/>
                <w:sz w:val="24"/>
              </w:rPr>
            </w:pPr>
          </w:p>
        </w:tc>
        <w:tc>
          <w:tcPr>
            <w:tcW w:w="2810" w:type="dxa"/>
            <w:tcBorders>
              <w:top w:val="nil"/>
              <w:left w:val="nil"/>
              <w:bottom w:val="single" w:color="auto" w:sz="4" w:space="0"/>
              <w:right w:val="single" w:color="auto" w:sz="4" w:space="0"/>
            </w:tcBorders>
            <w:noWrap w:val="0"/>
            <w:vAlign w:val="center"/>
          </w:tcPr>
          <w:p>
            <w:pPr>
              <w:widowControl/>
              <w:ind w:left="-273" w:leftChars="-130" w:firstLine="180" w:firstLineChars="75"/>
              <w:jc w:val="left"/>
              <w:rPr>
                <w:rFonts w:ascii="宋体" w:hAnsi="宋体" w:cs="宋体"/>
                <w:kern w:val="0"/>
                <w:sz w:val="24"/>
              </w:rPr>
            </w:pPr>
          </w:p>
        </w:tc>
      </w:tr>
      <w:tr>
        <w:tblPrEx>
          <w:tblLayout w:type="fixed"/>
          <w:tblCellMar>
            <w:top w:w="0" w:type="dxa"/>
            <w:left w:w="108" w:type="dxa"/>
            <w:bottom w:w="0" w:type="dxa"/>
            <w:right w:w="108" w:type="dxa"/>
          </w:tblCellMar>
        </w:tblPrEx>
        <w:trPr>
          <w:trHeight w:val="656"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ind w:left="-273" w:leftChars="-130" w:firstLine="180" w:firstLineChars="75"/>
              <w:jc w:val="center"/>
              <w:rPr>
                <w:rFonts w:hint="eastAsia" w:ascii="宋体" w:hAnsi="宋体" w:eastAsia="宋体" w:cs="宋体"/>
                <w:kern w:val="0"/>
                <w:sz w:val="24"/>
                <w:lang w:eastAsia="zh-CN"/>
              </w:rPr>
            </w:pPr>
            <w:r>
              <w:rPr>
                <w:rFonts w:hint="eastAsia" w:ascii="宋体" w:hAnsi="宋体" w:cs="宋体"/>
                <w:kern w:val="0"/>
                <w:sz w:val="24"/>
                <w:lang w:val="en-US" w:eastAsia="zh-CN"/>
              </w:rPr>
              <w:t>3</w:t>
            </w:r>
          </w:p>
        </w:tc>
        <w:tc>
          <w:tcPr>
            <w:tcW w:w="3856" w:type="dxa"/>
            <w:tcBorders>
              <w:top w:val="nil"/>
              <w:left w:val="nil"/>
              <w:bottom w:val="single" w:color="auto" w:sz="4" w:space="0"/>
              <w:right w:val="single" w:color="auto" w:sz="4" w:space="0"/>
            </w:tcBorders>
            <w:noWrap w:val="0"/>
            <w:vAlign w:val="center"/>
          </w:tcPr>
          <w:p>
            <w:pPr>
              <w:widowControl/>
              <w:ind w:left="-273" w:leftChars="-130" w:firstLine="638" w:firstLineChars="266"/>
              <w:jc w:val="left"/>
              <w:rPr>
                <w:rFonts w:hint="eastAsia" w:ascii="宋体" w:hAnsi="宋体" w:eastAsia="宋体" w:cs="宋体"/>
                <w:kern w:val="0"/>
                <w:sz w:val="24"/>
                <w:lang w:eastAsia="zh-CN"/>
              </w:rPr>
            </w:pPr>
            <w:r>
              <w:rPr>
                <w:rFonts w:hint="eastAsia" w:ascii="宋体" w:hAnsi="宋体" w:cs="宋体"/>
                <w:kern w:val="0"/>
                <w:sz w:val="24"/>
                <w:lang w:eastAsia="zh-CN"/>
              </w:rPr>
              <w:t>南区食堂消控系统维保</w:t>
            </w:r>
          </w:p>
        </w:tc>
        <w:tc>
          <w:tcPr>
            <w:tcW w:w="2410" w:type="dxa"/>
            <w:tcBorders>
              <w:top w:val="nil"/>
              <w:left w:val="nil"/>
              <w:bottom w:val="single" w:color="auto" w:sz="4" w:space="0"/>
              <w:right w:val="single" w:color="auto" w:sz="4" w:space="0"/>
            </w:tcBorders>
            <w:noWrap w:val="0"/>
            <w:vAlign w:val="center"/>
          </w:tcPr>
          <w:p>
            <w:pPr>
              <w:widowControl/>
              <w:ind w:left="-273" w:leftChars="-130" w:firstLine="180" w:firstLineChars="75"/>
              <w:jc w:val="center"/>
              <w:rPr>
                <w:rFonts w:hint="eastAsia" w:ascii="宋体" w:hAnsi="宋体" w:cs="宋体"/>
                <w:kern w:val="0"/>
                <w:sz w:val="24"/>
              </w:rPr>
            </w:pPr>
          </w:p>
        </w:tc>
        <w:tc>
          <w:tcPr>
            <w:tcW w:w="2810" w:type="dxa"/>
            <w:tcBorders>
              <w:top w:val="nil"/>
              <w:left w:val="nil"/>
              <w:bottom w:val="single" w:color="auto" w:sz="4" w:space="0"/>
              <w:right w:val="single" w:color="auto" w:sz="4" w:space="0"/>
            </w:tcBorders>
            <w:noWrap w:val="0"/>
            <w:vAlign w:val="center"/>
          </w:tcPr>
          <w:p>
            <w:pPr>
              <w:widowControl/>
              <w:ind w:left="-273" w:leftChars="-130" w:firstLine="180" w:firstLineChars="75"/>
              <w:jc w:val="left"/>
              <w:rPr>
                <w:rFonts w:ascii="宋体" w:hAnsi="宋体" w:cs="宋体"/>
                <w:kern w:val="0"/>
                <w:sz w:val="24"/>
              </w:rPr>
            </w:pPr>
          </w:p>
        </w:tc>
      </w:tr>
      <w:tr>
        <w:tblPrEx>
          <w:tblLayout w:type="fixed"/>
          <w:tblCellMar>
            <w:top w:w="0" w:type="dxa"/>
            <w:left w:w="108" w:type="dxa"/>
            <w:bottom w:w="0" w:type="dxa"/>
            <w:right w:w="108" w:type="dxa"/>
          </w:tblCellMar>
        </w:tblPrEx>
        <w:trPr>
          <w:trHeight w:val="656"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ind w:left="-273" w:leftChars="-130" w:firstLine="180" w:firstLineChars="75"/>
              <w:jc w:val="center"/>
              <w:rPr>
                <w:rFonts w:hint="eastAsia" w:ascii="宋体" w:hAnsi="宋体" w:eastAsia="宋体" w:cs="宋体"/>
                <w:kern w:val="0"/>
                <w:sz w:val="24"/>
                <w:lang w:eastAsia="zh-CN"/>
              </w:rPr>
            </w:pPr>
            <w:r>
              <w:rPr>
                <w:rFonts w:hint="eastAsia" w:ascii="宋体" w:hAnsi="宋体" w:cs="宋体"/>
                <w:kern w:val="0"/>
                <w:sz w:val="24"/>
                <w:lang w:val="en-US" w:eastAsia="zh-CN"/>
              </w:rPr>
              <w:t>4</w:t>
            </w:r>
          </w:p>
        </w:tc>
        <w:tc>
          <w:tcPr>
            <w:tcW w:w="3856" w:type="dxa"/>
            <w:tcBorders>
              <w:top w:val="nil"/>
              <w:left w:val="nil"/>
              <w:bottom w:val="single" w:color="auto" w:sz="4" w:space="0"/>
              <w:right w:val="single" w:color="auto" w:sz="4" w:space="0"/>
            </w:tcBorders>
            <w:noWrap w:val="0"/>
            <w:vAlign w:val="center"/>
          </w:tcPr>
          <w:p>
            <w:pPr>
              <w:widowControl/>
              <w:ind w:left="-273" w:leftChars="-130" w:firstLine="638" w:firstLineChars="266"/>
              <w:jc w:val="left"/>
              <w:rPr>
                <w:rFonts w:hint="eastAsia" w:ascii="宋体" w:hAnsi="宋体" w:eastAsia="宋体" w:cs="宋体"/>
                <w:kern w:val="0"/>
                <w:sz w:val="24"/>
                <w:lang w:eastAsia="zh-CN"/>
              </w:rPr>
            </w:pPr>
            <w:r>
              <w:rPr>
                <w:rFonts w:hint="eastAsia" w:ascii="宋体" w:hAnsi="宋体" w:cs="宋体"/>
                <w:kern w:val="0"/>
                <w:sz w:val="24"/>
              </w:rPr>
              <w:t>敬贤教师公寓</w:t>
            </w:r>
            <w:r>
              <w:rPr>
                <w:rFonts w:hint="eastAsia" w:ascii="宋体" w:hAnsi="宋体" w:cs="宋体"/>
                <w:kern w:val="0"/>
                <w:sz w:val="24"/>
                <w:lang w:eastAsia="zh-CN"/>
              </w:rPr>
              <w:t>消控系统维保</w:t>
            </w:r>
          </w:p>
        </w:tc>
        <w:tc>
          <w:tcPr>
            <w:tcW w:w="2410" w:type="dxa"/>
            <w:tcBorders>
              <w:top w:val="nil"/>
              <w:left w:val="nil"/>
              <w:bottom w:val="single" w:color="auto" w:sz="4" w:space="0"/>
              <w:right w:val="single" w:color="auto" w:sz="4" w:space="0"/>
            </w:tcBorders>
            <w:noWrap w:val="0"/>
            <w:vAlign w:val="center"/>
          </w:tcPr>
          <w:p>
            <w:pPr>
              <w:widowControl/>
              <w:ind w:left="-273" w:leftChars="-130" w:firstLine="180" w:firstLineChars="75"/>
              <w:jc w:val="center"/>
              <w:rPr>
                <w:rFonts w:hint="eastAsia" w:ascii="宋体" w:hAnsi="宋体" w:cs="宋体"/>
                <w:kern w:val="0"/>
                <w:sz w:val="24"/>
              </w:rPr>
            </w:pPr>
          </w:p>
        </w:tc>
        <w:tc>
          <w:tcPr>
            <w:tcW w:w="2810" w:type="dxa"/>
            <w:tcBorders>
              <w:top w:val="nil"/>
              <w:left w:val="nil"/>
              <w:bottom w:val="single" w:color="auto" w:sz="4" w:space="0"/>
              <w:right w:val="single" w:color="auto" w:sz="4" w:space="0"/>
            </w:tcBorders>
            <w:noWrap w:val="0"/>
            <w:vAlign w:val="center"/>
          </w:tcPr>
          <w:p>
            <w:pPr>
              <w:widowControl/>
              <w:ind w:left="-273" w:leftChars="-130" w:firstLine="180" w:firstLineChars="75"/>
              <w:jc w:val="left"/>
              <w:rPr>
                <w:rFonts w:ascii="宋体" w:hAnsi="宋体" w:cs="宋体"/>
                <w:kern w:val="0"/>
                <w:sz w:val="24"/>
              </w:rPr>
            </w:pPr>
          </w:p>
        </w:tc>
      </w:tr>
      <w:tr>
        <w:tblPrEx>
          <w:tblLayout w:type="fixed"/>
          <w:tblCellMar>
            <w:top w:w="0" w:type="dxa"/>
            <w:left w:w="108" w:type="dxa"/>
            <w:bottom w:w="0" w:type="dxa"/>
            <w:right w:w="108" w:type="dxa"/>
          </w:tblCellMar>
        </w:tblPrEx>
        <w:trPr>
          <w:trHeight w:val="656"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ind w:left="-273" w:leftChars="-130" w:firstLine="180" w:firstLineChars="75"/>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3856" w:type="dxa"/>
            <w:tcBorders>
              <w:top w:val="nil"/>
              <w:left w:val="nil"/>
              <w:bottom w:val="single" w:color="auto" w:sz="4" w:space="0"/>
              <w:right w:val="single" w:color="auto" w:sz="4" w:space="0"/>
            </w:tcBorders>
            <w:noWrap w:val="0"/>
            <w:vAlign w:val="center"/>
          </w:tcPr>
          <w:p>
            <w:pPr>
              <w:widowControl/>
              <w:ind w:left="-273" w:leftChars="-130" w:firstLine="638" w:firstLineChars="266"/>
              <w:jc w:val="left"/>
              <w:rPr>
                <w:rFonts w:hint="eastAsia" w:ascii="宋体" w:hAnsi="宋体" w:cs="宋体"/>
                <w:kern w:val="0"/>
                <w:sz w:val="24"/>
              </w:rPr>
            </w:pPr>
            <w:r>
              <w:rPr>
                <w:rFonts w:hint="eastAsia" w:ascii="宋体" w:hAnsi="宋体" w:cs="宋体"/>
                <w:kern w:val="0"/>
                <w:sz w:val="24"/>
              </w:rPr>
              <w:t>主5#校区网络机房</w:t>
            </w:r>
          </w:p>
        </w:tc>
        <w:tc>
          <w:tcPr>
            <w:tcW w:w="2410" w:type="dxa"/>
            <w:tcBorders>
              <w:top w:val="nil"/>
              <w:left w:val="nil"/>
              <w:bottom w:val="single" w:color="auto" w:sz="4" w:space="0"/>
              <w:right w:val="single" w:color="auto" w:sz="4" w:space="0"/>
            </w:tcBorders>
            <w:noWrap w:val="0"/>
            <w:vAlign w:val="center"/>
          </w:tcPr>
          <w:p>
            <w:pPr>
              <w:widowControl/>
              <w:ind w:left="-273" w:leftChars="-130" w:firstLine="180" w:firstLineChars="75"/>
              <w:jc w:val="center"/>
              <w:rPr>
                <w:rFonts w:hint="eastAsia" w:ascii="宋体" w:hAnsi="宋体" w:cs="宋体"/>
                <w:kern w:val="0"/>
                <w:sz w:val="24"/>
              </w:rPr>
            </w:pPr>
          </w:p>
        </w:tc>
        <w:tc>
          <w:tcPr>
            <w:tcW w:w="2810" w:type="dxa"/>
            <w:tcBorders>
              <w:top w:val="nil"/>
              <w:left w:val="nil"/>
              <w:bottom w:val="single" w:color="auto" w:sz="4" w:space="0"/>
              <w:right w:val="single" w:color="auto" w:sz="4" w:space="0"/>
            </w:tcBorders>
            <w:noWrap w:val="0"/>
            <w:vAlign w:val="center"/>
          </w:tcPr>
          <w:p>
            <w:pPr>
              <w:widowControl/>
              <w:ind w:left="-273" w:leftChars="-130" w:firstLine="180" w:firstLineChars="75"/>
              <w:jc w:val="left"/>
              <w:rPr>
                <w:rFonts w:ascii="宋体" w:hAnsi="宋体" w:cs="宋体"/>
                <w:kern w:val="0"/>
                <w:sz w:val="24"/>
              </w:rPr>
            </w:pPr>
          </w:p>
        </w:tc>
      </w:tr>
      <w:tr>
        <w:tblPrEx>
          <w:tblLayout w:type="fixed"/>
          <w:tblCellMar>
            <w:top w:w="0" w:type="dxa"/>
            <w:left w:w="108" w:type="dxa"/>
            <w:bottom w:w="0" w:type="dxa"/>
            <w:right w:w="108" w:type="dxa"/>
          </w:tblCellMar>
        </w:tblPrEx>
        <w:trPr>
          <w:trHeight w:val="656"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ind w:left="-273" w:leftChars="-130" w:firstLine="180" w:firstLineChars="75"/>
              <w:jc w:val="center"/>
              <w:rPr>
                <w:rFonts w:hint="eastAsia" w:ascii="宋体" w:hAnsi="宋体" w:eastAsia="宋体" w:cs="宋体"/>
                <w:kern w:val="0"/>
                <w:sz w:val="24"/>
                <w:lang w:eastAsia="zh-CN"/>
              </w:rPr>
            </w:pPr>
            <w:r>
              <w:rPr>
                <w:rFonts w:hint="eastAsia" w:ascii="宋体" w:hAnsi="宋体" w:cs="宋体"/>
                <w:kern w:val="0"/>
                <w:sz w:val="24"/>
                <w:lang w:val="en-US" w:eastAsia="zh-CN"/>
              </w:rPr>
              <w:t>6</w:t>
            </w:r>
          </w:p>
        </w:tc>
        <w:tc>
          <w:tcPr>
            <w:tcW w:w="3856" w:type="dxa"/>
            <w:tcBorders>
              <w:top w:val="nil"/>
              <w:left w:val="nil"/>
              <w:bottom w:val="single" w:color="auto" w:sz="4" w:space="0"/>
              <w:right w:val="single" w:color="auto" w:sz="4" w:space="0"/>
            </w:tcBorders>
            <w:noWrap w:val="0"/>
            <w:vAlign w:val="center"/>
          </w:tcPr>
          <w:p>
            <w:pPr>
              <w:widowControl/>
              <w:ind w:left="-273" w:leftChars="-130" w:firstLine="638" w:firstLineChars="266"/>
              <w:jc w:val="left"/>
              <w:rPr>
                <w:rFonts w:hint="eastAsia" w:ascii="宋体" w:hAnsi="宋体" w:cs="宋体"/>
                <w:kern w:val="0"/>
                <w:sz w:val="24"/>
              </w:rPr>
            </w:pPr>
            <w:r>
              <w:rPr>
                <w:rFonts w:hint="eastAsia" w:ascii="宋体" w:hAnsi="宋体" w:cs="宋体"/>
                <w:kern w:val="0"/>
                <w:sz w:val="24"/>
              </w:rPr>
              <w:t>生化楼群和理工楼</w:t>
            </w:r>
          </w:p>
        </w:tc>
        <w:tc>
          <w:tcPr>
            <w:tcW w:w="2410" w:type="dxa"/>
            <w:tcBorders>
              <w:top w:val="nil"/>
              <w:left w:val="nil"/>
              <w:bottom w:val="single" w:color="auto" w:sz="4" w:space="0"/>
              <w:right w:val="single" w:color="auto" w:sz="4" w:space="0"/>
            </w:tcBorders>
            <w:noWrap w:val="0"/>
            <w:vAlign w:val="center"/>
          </w:tcPr>
          <w:p>
            <w:pPr>
              <w:widowControl/>
              <w:ind w:left="-273" w:leftChars="-130" w:firstLine="180" w:firstLineChars="75"/>
              <w:jc w:val="center"/>
              <w:rPr>
                <w:rFonts w:hint="eastAsia" w:ascii="宋体" w:hAnsi="宋体" w:cs="宋体"/>
                <w:kern w:val="0"/>
                <w:sz w:val="24"/>
              </w:rPr>
            </w:pPr>
          </w:p>
        </w:tc>
        <w:tc>
          <w:tcPr>
            <w:tcW w:w="2810" w:type="dxa"/>
            <w:tcBorders>
              <w:top w:val="nil"/>
              <w:left w:val="nil"/>
              <w:bottom w:val="single" w:color="auto" w:sz="4" w:space="0"/>
              <w:right w:val="single" w:color="auto" w:sz="4" w:space="0"/>
            </w:tcBorders>
            <w:noWrap w:val="0"/>
            <w:vAlign w:val="center"/>
          </w:tcPr>
          <w:p>
            <w:pPr>
              <w:widowControl/>
              <w:ind w:left="5" w:leftChars="-55" w:hanging="120" w:hangingChars="50"/>
              <w:jc w:val="left"/>
              <w:rPr>
                <w:rFonts w:ascii="宋体" w:hAnsi="宋体" w:cs="宋体"/>
                <w:kern w:val="0"/>
                <w:sz w:val="24"/>
              </w:rPr>
            </w:pPr>
          </w:p>
        </w:tc>
      </w:tr>
      <w:tr>
        <w:tblPrEx>
          <w:tblLayout w:type="fixed"/>
          <w:tblCellMar>
            <w:top w:w="0" w:type="dxa"/>
            <w:left w:w="108" w:type="dxa"/>
            <w:bottom w:w="0" w:type="dxa"/>
            <w:right w:w="108" w:type="dxa"/>
          </w:tblCellMar>
        </w:tblPrEx>
        <w:trPr>
          <w:trHeight w:val="656" w:hRule="atLeast"/>
          <w:jc w:val="center"/>
        </w:trPr>
        <w:tc>
          <w:tcPr>
            <w:tcW w:w="4536"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left="-273" w:leftChars="-130" w:firstLine="181" w:firstLineChars="75"/>
              <w:jc w:val="center"/>
              <w:rPr>
                <w:rFonts w:ascii="宋体" w:hAnsi="宋体" w:cs="宋体"/>
                <w:b/>
                <w:bCs/>
                <w:kern w:val="0"/>
                <w:sz w:val="24"/>
              </w:rPr>
            </w:pPr>
            <w:r>
              <w:rPr>
                <w:rFonts w:hint="eastAsia" w:ascii="宋体" w:hAnsi="宋体" w:cs="宋体"/>
                <w:b/>
                <w:bCs/>
                <w:kern w:val="0"/>
                <w:sz w:val="24"/>
              </w:rPr>
              <w:t>总报价：</w:t>
            </w:r>
          </w:p>
        </w:tc>
        <w:tc>
          <w:tcPr>
            <w:tcW w:w="5220" w:type="dxa"/>
            <w:gridSpan w:val="2"/>
            <w:tcBorders>
              <w:top w:val="single" w:color="auto" w:sz="4" w:space="0"/>
              <w:left w:val="nil"/>
              <w:bottom w:val="single" w:color="auto" w:sz="4" w:space="0"/>
              <w:right w:val="single" w:color="auto" w:sz="4" w:space="0"/>
            </w:tcBorders>
            <w:noWrap w:val="0"/>
            <w:vAlign w:val="center"/>
          </w:tcPr>
          <w:p>
            <w:pPr>
              <w:widowControl/>
              <w:ind w:left="-273" w:leftChars="-130" w:firstLine="180" w:firstLineChars="75"/>
              <w:jc w:val="left"/>
              <w:rPr>
                <w:rFonts w:ascii="宋体" w:hAnsi="宋体" w:cs="宋体"/>
                <w:kern w:val="0"/>
                <w:sz w:val="24"/>
              </w:rPr>
            </w:pPr>
          </w:p>
        </w:tc>
      </w:tr>
    </w:tbl>
    <w:p>
      <w:pPr>
        <w:widowControl/>
        <w:numPr>
          <w:ilvl w:val="0"/>
          <w:numId w:val="2"/>
        </w:numPr>
        <w:wordWrap w:val="0"/>
        <w:spacing w:line="360" w:lineRule="auto"/>
        <w:ind w:left="425" w:leftChars="0" w:hanging="425" w:firstLineChars="0"/>
        <w:jc w:val="left"/>
        <w:rPr>
          <w:rFonts w:hint="eastAsia" w:cs="宋体"/>
          <w:b/>
          <w:kern w:val="0"/>
          <w:sz w:val="24"/>
          <w:lang w:val="en-US" w:eastAsia="zh-CN"/>
        </w:rPr>
      </w:pPr>
      <w:r>
        <w:rPr>
          <w:rFonts w:hint="eastAsia" w:cs="宋体"/>
          <w:b/>
          <w:kern w:val="0"/>
          <w:sz w:val="24"/>
          <w:lang w:val="en-US" w:eastAsia="zh-CN"/>
        </w:rPr>
        <w:t>配件报价：</w:t>
      </w:r>
    </w:p>
    <w:tbl>
      <w:tblPr>
        <w:tblStyle w:val="12"/>
        <w:tblW w:w="977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5"/>
        <w:gridCol w:w="1955"/>
        <w:gridCol w:w="1956"/>
        <w:gridCol w:w="1956"/>
        <w:gridCol w:w="19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5" w:type="dxa"/>
            <w:noWrap w:val="0"/>
            <w:vAlign w:val="top"/>
          </w:tcPr>
          <w:p>
            <w:pPr>
              <w:jc w:val="center"/>
              <w:rPr>
                <w:rFonts w:hint="eastAsia"/>
                <w:b/>
                <w:bCs/>
                <w:sz w:val="24"/>
              </w:rPr>
            </w:pPr>
            <w:r>
              <w:rPr>
                <w:rFonts w:hint="eastAsia"/>
                <w:b/>
                <w:bCs/>
                <w:sz w:val="24"/>
              </w:rPr>
              <w:t>序号</w:t>
            </w:r>
          </w:p>
        </w:tc>
        <w:tc>
          <w:tcPr>
            <w:tcW w:w="1955" w:type="dxa"/>
            <w:noWrap w:val="0"/>
            <w:vAlign w:val="top"/>
          </w:tcPr>
          <w:p>
            <w:pPr>
              <w:jc w:val="center"/>
              <w:rPr>
                <w:rFonts w:hint="eastAsia"/>
                <w:b/>
                <w:bCs/>
                <w:sz w:val="24"/>
              </w:rPr>
            </w:pPr>
            <w:r>
              <w:rPr>
                <w:rFonts w:hint="eastAsia"/>
                <w:b/>
                <w:bCs/>
                <w:sz w:val="24"/>
              </w:rPr>
              <w:t>配件名称</w:t>
            </w:r>
          </w:p>
        </w:tc>
        <w:tc>
          <w:tcPr>
            <w:tcW w:w="1956" w:type="dxa"/>
            <w:noWrap w:val="0"/>
            <w:vAlign w:val="top"/>
          </w:tcPr>
          <w:p>
            <w:pPr>
              <w:jc w:val="center"/>
              <w:rPr>
                <w:rFonts w:hint="eastAsia"/>
                <w:b/>
                <w:bCs/>
                <w:sz w:val="24"/>
              </w:rPr>
            </w:pPr>
            <w:r>
              <w:rPr>
                <w:rFonts w:hint="eastAsia"/>
                <w:b/>
                <w:bCs/>
                <w:sz w:val="24"/>
              </w:rPr>
              <w:t>品牌</w:t>
            </w:r>
          </w:p>
        </w:tc>
        <w:tc>
          <w:tcPr>
            <w:tcW w:w="1956" w:type="dxa"/>
            <w:noWrap w:val="0"/>
            <w:vAlign w:val="top"/>
          </w:tcPr>
          <w:p>
            <w:pPr>
              <w:jc w:val="center"/>
              <w:rPr>
                <w:rFonts w:hint="eastAsia"/>
                <w:b/>
                <w:bCs/>
                <w:sz w:val="24"/>
              </w:rPr>
            </w:pPr>
            <w:r>
              <w:rPr>
                <w:rFonts w:hint="eastAsia"/>
                <w:b/>
                <w:bCs/>
                <w:sz w:val="24"/>
              </w:rPr>
              <w:t>单价(元/个)</w:t>
            </w:r>
          </w:p>
        </w:tc>
        <w:tc>
          <w:tcPr>
            <w:tcW w:w="1956" w:type="dxa"/>
            <w:noWrap w:val="0"/>
            <w:vAlign w:val="top"/>
          </w:tcPr>
          <w:p>
            <w:pPr>
              <w:jc w:val="center"/>
              <w:rPr>
                <w:rFonts w:hint="eastAsia" w:eastAsia="宋体"/>
                <w:b/>
                <w:bCs/>
                <w:sz w:val="24"/>
                <w:lang w:eastAsia="zh-CN"/>
              </w:rPr>
            </w:pPr>
            <w:r>
              <w:rPr>
                <w:rFonts w:hint="eastAsia"/>
                <w:b/>
                <w:bCs/>
                <w:sz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5" w:type="dxa"/>
            <w:noWrap w:val="0"/>
            <w:vAlign w:val="top"/>
          </w:tcPr>
          <w:p>
            <w:pPr>
              <w:jc w:val="center"/>
              <w:rPr>
                <w:rFonts w:hint="eastAsia"/>
                <w:sz w:val="24"/>
              </w:rPr>
            </w:pPr>
            <w:r>
              <w:rPr>
                <w:rFonts w:hint="eastAsia"/>
                <w:sz w:val="24"/>
              </w:rPr>
              <w:t>1</w:t>
            </w:r>
          </w:p>
        </w:tc>
        <w:tc>
          <w:tcPr>
            <w:tcW w:w="1955" w:type="dxa"/>
            <w:noWrap w:val="0"/>
            <w:vAlign w:val="top"/>
          </w:tcPr>
          <w:p>
            <w:pPr>
              <w:jc w:val="center"/>
              <w:rPr>
                <w:rFonts w:hint="eastAsia"/>
                <w:sz w:val="24"/>
              </w:rPr>
            </w:pPr>
            <w:r>
              <w:rPr>
                <w:rFonts w:hint="eastAsia"/>
                <w:sz w:val="24"/>
              </w:rPr>
              <w:t>烟感</w:t>
            </w:r>
          </w:p>
        </w:tc>
        <w:tc>
          <w:tcPr>
            <w:tcW w:w="1956" w:type="dxa"/>
            <w:noWrap w:val="0"/>
            <w:vAlign w:val="top"/>
          </w:tcPr>
          <w:p>
            <w:pPr>
              <w:jc w:val="center"/>
              <w:rPr>
                <w:rFonts w:hint="eastAsia" w:eastAsia="宋体"/>
                <w:sz w:val="24"/>
                <w:lang w:eastAsia="zh-CN"/>
              </w:rPr>
            </w:pPr>
            <w:r>
              <w:rPr>
                <w:rFonts w:hint="eastAsia"/>
                <w:sz w:val="24"/>
              </w:rPr>
              <w:t>上海松江、泛海三江</w:t>
            </w:r>
            <w:r>
              <w:rPr>
                <w:rFonts w:hint="eastAsia"/>
                <w:sz w:val="24"/>
                <w:lang w:eastAsia="zh-CN"/>
              </w:rPr>
              <w:t>、海湾</w:t>
            </w:r>
          </w:p>
        </w:tc>
        <w:tc>
          <w:tcPr>
            <w:tcW w:w="1956" w:type="dxa"/>
            <w:noWrap w:val="0"/>
            <w:vAlign w:val="top"/>
          </w:tcPr>
          <w:p>
            <w:pPr>
              <w:jc w:val="center"/>
              <w:rPr>
                <w:rFonts w:hint="eastAsia"/>
                <w:sz w:val="24"/>
              </w:rPr>
            </w:pPr>
          </w:p>
        </w:tc>
        <w:tc>
          <w:tcPr>
            <w:tcW w:w="1956" w:type="dxa"/>
            <w:noWrap w:val="0"/>
            <w:vAlign w:val="top"/>
          </w:tcPr>
          <w:p>
            <w:pPr>
              <w:jc w:val="cente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5" w:type="dxa"/>
            <w:noWrap w:val="0"/>
            <w:vAlign w:val="top"/>
          </w:tcPr>
          <w:p>
            <w:pPr>
              <w:jc w:val="center"/>
              <w:rPr>
                <w:rFonts w:hint="eastAsia"/>
                <w:sz w:val="24"/>
              </w:rPr>
            </w:pPr>
            <w:r>
              <w:rPr>
                <w:rFonts w:hint="eastAsia"/>
                <w:sz w:val="24"/>
              </w:rPr>
              <w:t>2</w:t>
            </w:r>
          </w:p>
        </w:tc>
        <w:tc>
          <w:tcPr>
            <w:tcW w:w="1955" w:type="dxa"/>
            <w:noWrap w:val="0"/>
            <w:vAlign w:val="top"/>
          </w:tcPr>
          <w:p>
            <w:pPr>
              <w:jc w:val="center"/>
              <w:rPr>
                <w:rFonts w:hint="eastAsia"/>
                <w:sz w:val="24"/>
              </w:rPr>
            </w:pPr>
            <w:r>
              <w:rPr>
                <w:rFonts w:hint="eastAsia"/>
                <w:sz w:val="24"/>
              </w:rPr>
              <w:t>手报</w:t>
            </w:r>
          </w:p>
        </w:tc>
        <w:tc>
          <w:tcPr>
            <w:tcW w:w="1956" w:type="dxa"/>
            <w:noWrap w:val="0"/>
            <w:vAlign w:val="top"/>
          </w:tcPr>
          <w:p>
            <w:pPr>
              <w:jc w:val="center"/>
              <w:rPr>
                <w:rFonts w:hint="eastAsia" w:eastAsia="宋体"/>
                <w:sz w:val="24"/>
                <w:lang w:eastAsia="zh-CN"/>
              </w:rPr>
            </w:pPr>
            <w:r>
              <w:rPr>
                <w:rFonts w:hint="eastAsia"/>
                <w:sz w:val="24"/>
              </w:rPr>
              <w:t>上海松江、泛海三江</w:t>
            </w:r>
            <w:r>
              <w:rPr>
                <w:rFonts w:hint="eastAsia"/>
                <w:sz w:val="24"/>
                <w:lang w:eastAsia="zh-CN"/>
              </w:rPr>
              <w:t>、海湾</w:t>
            </w:r>
          </w:p>
        </w:tc>
        <w:tc>
          <w:tcPr>
            <w:tcW w:w="1956" w:type="dxa"/>
            <w:noWrap w:val="0"/>
            <w:vAlign w:val="top"/>
          </w:tcPr>
          <w:p>
            <w:pPr>
              <w:jc w:val="center"/>
              <w:rPr>
                <w:rFonts w:hint="eastAsia"/>
                <w:sz w:val="24"/>
              </w:rPr>
            </w:pPr>
          </w:p>
        </w:tc>
        <w:tc>
          <w:tcPr>
            <w:tcW w:w="1956" w:type="dxa"/>
            <w:noWrap w:val="0"/>
            <w:vAlign w:val="top"/>
          </w:tcPr>
          <w:p>
            <w:pPr>
              <w:jc w:val="cente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5" w:type="dxa"/>
            <w:noWrap w:val="0"/>
            <w:vAlign w:val="top"/>
          </w:tcPr>
          <w:p>
            <w:pPr>
              <w:jc w:val="center"/>
              <w:rPr>
                <w:rFonts w:hint="eastAsia"/>
                <w:sz w:val="24"/>
              </w:rPr>
            </w:pPr>
            <w:r>
              <w:rPr>
                <w:rFonts w:hint="eastAsia"/>
                <w:sz w:val="24"/>
              </w:rPr>
              <w:t>3</w:t>
            </w:r>
          </w:p>
        </w:tc>
        <w:tc>
          <w:tcPr>
            <w:tcW w:w="1955" w:type="dxa"/>
            <w:noWrap w:val="0"/>
            <w:vAlign w:val="top"/>
          </w:tcPr>
          <w:p>
            <w:pPr>
              <w:jc w:val="center"/>
              <w:rPr>
                <w:rFonts w:hint="eastAsia"/>
                <w:sz w:val="24"/>
              </w:rPr>
            </w:pPr>
            <w:r>
              <w:rPr>
                <w:rFonts w:hint="eastAsia"/>
                <w:sz w:val="24"/>
              </w:rPr>
              <w:t>主机状态板</w:t>
            </w:r>
          </w:p>
        </w:tc>
        <w:tc>
          <w:tcPr>
            <w:tcW w:w="1956" w:type="dxa"/>
            <w:noWrap w:val="0"/>
            <w:vAlign w:val="top"/>
          </w:tcPr>
          <w:p>
            <w:pPr>
              <w:jc w:val="center"/>
              <w:rPr>
                <w:rFonts w:hint="eastAsia"/>
                <w:sz w:val="24"/>
              </w:rPr>
            </w:pPr>
            <w:r>
              <w:rPr>
                <w:rFonts w:hint="eastAsia"/>
                <w:sz w:val="24"/>
              </w:rPr>
              <w:t>同上</w:t>
            </w:r>
          </w:p>
        </w:tc>
        <w:tc>
          <w:tcPr>
            <w:tcW w:w="1956" w:type="dxa"/>
            <w:noWrap w:val="0"/>
            <w:vAlign w:val="top"/>
          </w:tcPr>
          <w:p>
            <w:pPr>
              <w:jc w:val="center"/>
              <w:rPr>
                <w:rFonts w:hint="eastAsia"/>
                <w:sz w:val="24"/>
              </w:rPr>
            </w:pPr>
          </w:p>
        </w:tc>
        <w:tc>
          <w:tcPr>
            <w:tcW w:w="1956" w:type="dxa"/>
            <w:noWrap w:val="0"/>
            <w:vAlign w:val="top"/>
          </w:tcPr>
          <w:p>
            <w:pPr>
              <w:jc w:val="cente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5" w:type="dxa"/>
            <w:noWrap w:val="0"/>
            <w:vAlign w:val="top"/>
          </w:tcPr>
          <w:p>
            <w:pPr>
              <w:jc w:val="center"/>
              <w:rPr>
                <w:rFonts w:hint="eastAsia"/>
                <w:sz w:val="24"/>
              </w:rPr>
            </w:pPr>
            <w:r>
              <w:rPr>
                <w:rFonts w:hint="eastAsia"/>
                <w:sz w:val="24"/>
              </w:rPr>
              <w:t>4</w:t>
            </w:r>
          </w:p>
        </w:tc>
        <w:tc>
          <w:tcPr>
            <w:tcW w:w="1955" w:type="dxa"/>
            <w:noWrap w:val="0"/>
            <w:vAlign w:val="top"/>
          </w:tcPr>
          <w:p>
            <w:pPr>
              <w:jc w:val="center"/>
              <w:rPr>
                <w:rFonts w:hint="eastAsia"/>
                <w:sz w:val="24"/>
              </w:rPr>
            </w:pPr>
            <w:r>
              <w:rPr>
                <w:rFonts w:hint="eastAsia"/>
                <w:sz w:val="24"/>
              </w:rPr>
              <w:t>主机回路板</w:t>
            </w:r>
          </w:p>
        </w:tc>
        <w:tc>
          <w:tcPr>
            <w:tcW w:w="1956" w:type="dxa"/>
            <w:noWrap w:val="0"/>
            <w:vAlign w:val="top"/>
          </w:tcPr>
          <w:p>
            <w:pPr>
              <w:jc w:val="center"/>
              <w:rPr>
                <w:rFonts w:hint="eastAsia"/>
                <w:sz w:val="24"/>
              </w:rPr>
            </w:pPr>
            <w:r>
              <w:rPr>
                <w:rFonts w:hint="eastAsia"/>
                <w:sz w:val="24"/>
              </w:rPr>
              <w:t>同上</w:t>
            </w:r>
          </w:p>
        </w:tc>
        <w:tc>
          <w:tcPr>
            <w:tcW w:w="1956" w:type="dxa"/>
            <w:noWrap w:val="0"/>
            <w:vAlign w:val="top"/>
          </w:tcPr>
          <w:p>
            <w:pPr>
              <w:jc w:val="center"/>
              <w:rPr>
                <w:rFonts w:hint="eastAsia"/>
                <w:sz w:val="24"/>
              </w:rPr>
            </w:pPr>
          </w:p>
        </w:tc>
        <w:tc>
          <w:tcPr>
            <w:tcW w:w="1956" w:type="dxa"/>
            <w:noWrap w:val="0"/>
            <w:vAlign w:val="top"/>
          </w:tcPr>
          <w:p>
            <w:pPr>
              <w:jc w:val="cente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5" w:type="dxa"/>
            <w:noWrap w:val="0"/>
            <w:vAlign w:val="top"/>
          </w:tcPr>
          <w:p>
            <w:pPr>
              <w:jc w:val="center"/>
              <w:rPr>
                <w:rFonts w:hint="eastAsia"/>
                <w:sz w:val="24"/>
              </w:rPr>
            </w:pPr>
            <w:r>
              <w:rPr>
                <w:rFonts w:hint="eastAsia"/>
                <w:sz w:val="24"/>
              </w:rPr>
              <w:t>5</w:t>
            </w:r>
          </w:p>
        </w:tc>
        <w:tc>
          <w:tcPr>
            <w:tcW w:w="1955" w:type="dxa"/>
            <w:noWrap w:val="0"/>
            <w:vAlign w:val="top"/>
          </w:tcPr>
          <w:p>
            <w:pPr>
              <w:jc w:val="center"/>
              <w:rPr>
                <w:rFonts w:hint="eastAsia" w:eastAsia="宋体"/>
                <w:sz w:val="24"/>
                <w:lang w:eastAsia="zh-CN"/>
              </w:rPr>
            </w:pPr>
            <w:r>
              <w:rPr>
                <w:rFonts w:hint="eastAsia"/>
                <w:sz w:val="24"/>
                <w:lang w:eastAsia="zh-CN"/>
              </w:rPr>
              <w:t>主机双回路板</w:t>
            </w:r>
          </w:p>
        </w:tc>
        <w:tc>
          <w:tcPr>
            <w:tcW w:w="1956" w:type="dxa"/>
            <w:noWrap w:val="0"/>
            <w:vAlign w:val="top"/>
          </w:tcPr>
          <w:p>
            <w:pPr>
              <w:jc w:val="center"/>
              <w:rPr>
                <w:rFonts w:hint="eastAsia" w:eastAsia="宋体"/>
                <w:sz w:val="24"/>
                <w:lang w:eastAsia="zh-CN"/>
              </w:rPr>
            </w:pPr>
            <w:r>
              <w:rPr>
                <w:rFonts w:hint="eastAsia"/>
                <w:sz w:val="24"/>
                <w:lang w:eastAsia="zh-CN"/>
              </w:rPr>
              <w:t>同上</w:t>
            </w:r>
          </w:p>
        </w:tc>
        <w:tc>
          <w:tcPr>
            <w:tcW w:w="1956" w:type="dxa"/>
            <w:noWrap w:val="0"/>
            <w:vAlign w:val="top"/>
          </w:tcPr>
          <w:p>
            <w:pPr>
              <w:jc w:val="center"/>
              <w:rPr>
                <w:rFonts w:hint="eastAsia"/>
                <w:sz w:val="24"/>
              </w:rPr>
            </w:pPr>
          </w:p>
        </w:tc>
        <w:tc>
          <w:tcPr>
            <w:tcW w:w="1956" w:type="dxa"/>
            <w:noWrap w:val="0"/>
            <w:vAlign w:val="top"/>
          </w:tcPr>
          <w:p>
            <w:pPr>
              <w:jc w:val="cente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5" w:type="dxa"/>
            <w:noWrap w:val="0"/>
            <w:vAlign w:val="top"/>
          </w:tcPr>
          <w:p>
            <w:pPr>
              <w:jc w:val="center"/>
              <w:rPr>
                <w:rFonts w:hint="eastAsia"/>
                <w:sz w:val="24"/>
              </w:rPr>
            </w:pPr>
            <w:r>
              <w:rPr>
                <w:rFonts w:hint="eastAsia"/>
                <w:sz w:val="24"/>
              </w:rPr>
              <w:t>6</w:t>
            </w:r>
          </w:p>
        </w:tc>
        <w:tc>
          <w:tcPr>
            <w:tcW w:w="1955" w:type="dxa"/>
            <w:noWrap w:val="0"/>
            <w:vAlign w:val="top"/>
          </w:tcPr>
          <w:p>
            <w:pPr>
              <w:jc w:val="center"/>
              <w:rPr>
                <w:rFonts w:hint="eastAsia"/>
                <w:sz w:val="24"/>
              </w:rPr>
            </w:pPr>
            <w:r>
              <w:rPr>
                <w:rFonts w:hint="eastAsia"/>
                <w:sz w:val="24"/>
              </w:rPr>
              <w:t>卷帘门电机</w:t>
            </w:r>
          </w:p>
        </w:tc>
        <w:tc>
          <w:tcPr>
            <w:tcW w:w="1956" w:type="dxa"/>
            <w:noWrap w:val="0"/>
            <w:vAlign w:val="top"/>
          </w:tcPr>
          <w:p>
            <w:pPr>
              <w:jc w:val="center"/>
              <w:rPr>
                <w:rFonts w:hint="eastAsia"/>
                <w:sz w:val="24"/>
              </w:rPr>
            </w:pPr>
          </w:p>
        </w:tc>
        <w:tc>
          <w:tcPr>
            <w:tcW w:w="1956" w:type="dxa"/>
            <w:noWrap w:val="0"/>
            <w:vAlign w:val="top"/>
          </w:tcPr>
          <w:p>
            <w:pPr>
              <w:jc w:val="center"/>
              <w:rPr>
                <w:rFonts w:hint="eastAsia"/>
                <w:sz w:val="24"/>
              </w:rPr>
            </w:pPr>
          </w:p>
        </w:tc>
        <w:tc>
          <w:tcPr>
            <w:tcW w:w="1956" w:type="dxa"/>
            <w:noWrap w:val="0"/>
            <w:vAlign w:val="top"/>
          </w:tcPr>
          <w:p>
            <w:pPr>
              <w:jc w:val="cente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5" w:type="dxa"/>
            <w:noWrap w:val="0"/>
            <w:vAlign w:val="top"/>
          </w:tcPr>
          <w:p>
            <w:pPr>
              <w:jc w:val="center"/>
              <w:rPr>
                <w:rFonts w:hint="eastAsia"/>
                <w:sz w:val="24"/>
              </w:rPr>
            </w:pPr>
            <w:r>
              <w:rPr>
                <w:rFonts w:hint="eastAsia"/>
                <w:sz w:val="24"/>
              </w:rPr>
              <w:t>7</w:t>
            </w:r>
          </w:p>
        </w:tc>
        <w:tc>
          <w:tcPr>
            <w:tcW w:w="1955" w:type="dxa"/>
            <w:noWrap w:val="0"/>
            <w:vAlign w:val="top"/>
          </w:tcPr>
          <w:p>
            <w:pPr>
              <w:jc w:val="center"/>
              <w:rPr>
                <w:rFonts w:hint="eastAsia"/>
                <w:sz w:val="24"/>
              </w:rPr>
            </w:pPr>
            <w:r>
              <w:rPr>
                <w:rFonts w:hint="eastAsia"/>
                <w:sz w:val="24"/>
              </w:rPr>
              <w:t>卷帘门控制箱</w:t>
            </w:r>
          </w:p>
        </w:tc>
        <w:tc>
          <w:tcPr>
            <w:tcW w:w="1956" w:type="dxa"/>
            <w:noWrap w:val="0"/>
            <w:vAlign w:val="top"/>
          </w:tcPr>
          <w:p>
            <w:pPr>
              <w:jc w:val="center"/>
              <w:rPr>
                <w:rFonts w:hint="eastAsia"/>
                <w:sz w:val="24"/>
              </w:rPr>
            </w:pPr>
          </w:p>
        </w:tc>
        <w:tc>
          <w:tcPr>
            <w:tcW w:w="1956" w:type="dxa"/>
            <w:noWrap w:val="0"/>
            <w:vAlign w:val="top"/>
          </w:tcPr>
          <w:p>
            <w:pPr>
              <w:jc w:val="center"/>
              <w:rPr>
                <w:rFonts w:hint="eastAsia"/>
                <w:sz w:val="24"/>
              </w:rPr>
            </w:pPr>
          </w:p>
        </w:tc>
        <w:tc>
          <w:tcPr>
            <w:tcW w:w="1956" w:type="dxa"/>
            <w:noWrap w:val="0"/>
            <w:vAlign w:val="top"/>
          </w:tcPr>
          <w:p>
            <w:pPr>
              <w:jc w:val="cente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5" w:type="dxa"/>
            <w:noWrap w:val="0"/>
            <w:vAlign w:val="top"/>
          </w:tcPr>
          <w:p>
            <w:pPr>
              <w:jc w:val="center"/>
              <w:rPr>
                <w:rFonts w:hint="eastAsia"/>
                <w:sz w:val="24"/>
              </w:rPr>
            </w:pPr>
            <w:r>
              <w:rPr>
                <w:rFonts w:hint="eastAsia"/>
                <w:sz w:val="24"/>
              </w:rPr>
              <w:t>8</w:t>
            </w:r>
          </w:p>
        </w:tc>
        <w:tc>
          <w:tcPr>
            <w:tcW w:w="1955" w:type="dxa"/>
            <w:noWrap w:val="0"/>
            <w:vAlign w:val="top"/>
          </w:tcPr>
          <w:p>
            <w:pPr>
              <w:jc w:val="center"/>
              <w:rPr>
                <w:rFonts w:hint="eastAsia"/>
                <w:sz w:val="24"/>
              </w:rPr>
            </w:pPr>
            <w:r>
              <w:rPr>
                <w:rFonts w:hint="eastAsia"/>
                <w:sz w:val="24"/>
              </w:rPr>
              <w:t>卷帘门控制箱（无蓄电池）</w:t>
            </w:r>
          </w:p>
        </w:tc>
        <w:tc>
          <w:tcPr>
            <w:tcW w:w="1956" w:type="dxa"/>
            <w:noWrap w:val="0"/>
            <w:vAlign w:val="top"/>
          </w:tcPr>
          <w:p>
            <w:pPr>
              <w:jc w:val="center"/>
              <w:rPr>
                <w:rFonts w:hint="eastAsia"/>
                <w:sz w:val="24"/>
              </w:rPr>
            </w:pPr>
          </w:p>
        </w:tc>
        <w:tc>
          <w:tcPr>
            <w:tcW w:w="1956" w:type="dxa"/>
            <w:noWrap w:val="0"/>
            <w:vAlign w:val="top"/>
          </w:tcPr>
          <w:p>
            <w:pPr>
              <w:jc w:val="center"/>
              <w:rPr>
                <w:rFonts w:hint="eastAsia"/>
                <w:sz w:val="24"/>
              </w:rPr>
            </w:pPr>
          </w:p>
        </w:tc>
        <w:tc>
          <w:tcPr>
            <w:tcW w:w="1956" w:type="dxa"/>
            <w:noWrap w:val="0"/>
            <w:vAlign w:val="top"/>
          </w:tcPr>
          <w:p>
            <w:pPr>
              <w:jc w:val="cente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955" w:type="dxa"/>
            <w:noWrap w:val="0"/>
            <w:vAlign w:val="top"/>
          </w:tcPr>
          <w:p>
            <w:pPr>
              <w:jc w:val="center"/>
              <w:rPr>
                <w:rFonts w:hint="eastAsia" w:eastAsia="宋体"/>
                <w:sz w:val="24"/>
                <w:lang w:eastAsia="zh-CN"/>
              </w:rPr>
            </w:pPr>
            <w:r>
              <w:rPr>
                <w:rFonts w:hint="eastAsia"/>
                <w:sz w:val="24"/>
                <w:lang w:val="en-US" w:eastAsia="zh-CN"/>
              </w:rPr>
              <w:t>9</w:t>
            </w:r>
          </w:p>
        </w:tc>
        <w:tc>
          <w:tcPr>
            <w:tcW w:w="1955" w:type="dxa"/>
            <w:noWrap w:val="0"/>
            <w:vAlign w:val="top"/>
          </w:tcPr>
          <w:p>
            <w:pPr>
              <w:jc w:val="center"/>
              <w:rPr>
                <w:rFonts w:hint="eastAsia"/>
                <w:sz w:val="24"/>
              </w:rPr>
            </w:pPr>
            <w:r>
              <w:rPr>
                <w:rFonts w:hint="eastAsia"/>
                <w:sz w:val="24"/>
              </w:rPr>
              <w:t>消火栓按钮</w:t>
            </w:r>
          </w:p>
        </w:tc>
        <w:tc>
          <w:tcPr>
            <w:tcW w:w="1956" w:type="dxa"/>
            <w:noWrap w:val="0"/>
            <w:vAlign w:val="top"/>
          </w:tcPr>
          <w:p>
            <w:pPr>
              <w:jc w:val="center"/>
            </w:pPr>
            <w:r>
              <w:rPr>
                <w:rFonts w:hint="eastAsia"/>
                <w:sz w:val="24"/>
              </w:rPr>
              <w:t>上海松江、泛海三江</w:t>
            </w:r>
            <w:r>
              <w:rPr>
                <w:rFonts w:hint="eastAsia"/>
                <w:sz w:val="24"/>
                <w:lang w:eastAsia="zh-CN"/>
              </w:rPr>
              <w:t>、海湾</w:t>
            </w:r>
          </w:p>
        </w:tc>
        <w:tc>
          <w:tcPr>
            <w:tcW w:w="1956" w:type="dxa"/>
            <w:noWrap w:val="0"/>
            <w:vAlign w:val="top"/>
          </w:tcPr>
          <w:p>
            <w:pPr>
              <w:jc w:val="center"/>
              <w:rPr>
                <w:rFonts w:hint="eastAsia"/>
                <w:sz w:val="24"/>
              </w:rPr>
            </w:pPr>
          </w:p>
        </w:tc>
        <w:tc>
          <w:tcPr>
            <w:tcW w:w="1956" w:type="dxa"/>
            <w:noWrap w:val="0"/>
            <w:vAlign w:val="top"/>
          </w:tcPr>
          <w:p>
            <w:pPr>
              <w:jc w:val="cente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5" w:type="dxa"/>
            <w:noWrap w:val="0"/>
            <w:vAlign w:val="top"/>
          </w:tcPr>
          <w:p>
            <w:pPr>
              <w:jc w:val="center"/>
              <w:rPr>
                <w:rFonts w:hint="eastAsia" w:eastAsia="宋体"/>
                <w:sz w:val="24"/>
                <w:lang w:val="en-US" w:eastAsia="zh-CN"/>
              </w:rPr>
            </w:pPr>
            <w:r>
              <w:rPr>
                <w:rFonts w:hint="eastAsia"/>
                <w:sz w:val="24"/>
                <w:lang w:val="en-US" w:eastAsia="zh-CN"/>
              </w:rPr>
              <w:t>10</w:t>
            </w:r>
          </w:p>
        </w:tc>
        <w:tc>
          <w:tcPr>
            <w:tcW w:w="1955" w:type="dxa"/>
            <w:noWrap w:val="0"/>
            <w:vAlign w:val="top"/>
          </w:tcPr>
          <w:p>
            <w:pPr>
              <w:jc w:val="center"/>
              <w:rPr>
                <w:rFonts w:hint="eastAsia"/>
                <w:sz w:val="24"/>
              </w:rPr>
            </w:pPr>
            <w:r>
              <w:rPr>
                <w:rFonts w:hint="eastAsia"/>
                <w:sz w:val="24"/>
              </w:rPr>
              <w:t>单输入模块</w:t>
            </w:r>
          </w:p>
        </w:tc>
        <w:tc>
          <w:tcPr>
            <w:tcW w:w="1956" w:type="dxa"/>
            <w:noWrap w:val="0"/>
            <w:vAlign w:val="top"/>
          </w:tcPr>
          <w:p>
            <w:pPr>
              <w:jc w:val="center"/>
            </w:pPr>
            <w:r>
              <w:rPr>
                <w:rFonts w:hint="eastAsia"/>
                <w:sz w:val="24"/>
              </w:rPr>
              <w:t>上海松江、泛海三江</w:t>
            </w:r>
            <w:r>
              <w:rPr>
                <w:rFonts w:hint="eastAsia"/>
                <w:sz w:val="24"/>
                <w:lang w:eastAsia="zh-CN"/>
              </w:rPr>
              <w:t>、海湾</w:t>
            </w:r>
          </w:p>
        </w:tc>
        <w:tc>
          <w:tcPr>
            <w:tcW w:w="1956" w:type="dxa"/>
            <w:noWrap w:val="0"/>
            <w:vAlign w:val="top"/>
          </w:tcPr>
          <w:p>
            <w:pPr>
              <w:jc w:val="center"/>
              <w:rPr>
                <w:rFonts w:hint="eastAsia"/>
                <w:sz w:val="24"/>
              </w:rPr>
            </w:pPr>
          </w:p>
        </w:tc>
        <w:tc>
          <w:tcPr>
            <w:tcW w:w="1956" w:type="dxa"/>
            <w:noWrap w:val="0"/>
            <w:vAlign w:val="top"/>
          </w:tcPr>
          <w:p>
            <w:pPr>
              <w:jc w:val="cente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5" w:type="dxa"/>
            <w:noWrap w:val="0"/>
            <w:vAlign w:val="top"/>
          </w:tcPr>
          <w:p>
            <w:pPr>
              <w:jc w:val="center"/>
              <w:rPr>
                <w:rFonts w:hint="eastAsia" w:eastAsia="宋体"/>
                <w:sz w:val="24"/>
                <w:lang w:val="en-US" w:eastAsia="zh-CN"/>
              </w:rPr>
            </w:pPr>
            <w:r>
              <w:rPr>
                <w:rFonts w:hint="eastAsia"/>
                <w:sz w:val="24"/>
                <w:lang w:val="en-US" w:eastAsia="zh-CN"/>
              </w:rPr>
              <w:t>11</w:t>
            </w:r>
          </w:p>
        </w:tc>
        <w:tc>
          <w:tcPr>
            <w:tcW w:w="1955" w:type="dxa"/>
            <w:noWrap w:val="0"/>
            <w:vAlign w:val="top"/>
          </w:tcPr>
          <w:p>
            <w:pPr>
              <w:jc w:val="center"/>
              <w:rPr>
                <w:rFonts w:hint="eastAsia"/>
                <w:sz w:val="24"/>
              </w:rPr>
            </w:pPr>
            <w:r>
              <w:rPr>
                <w:rFonts w:hint="eastAsia"/>
                <w:sz w:val="24"/>
              </w:rPr>
              <w:t>输入/输出模块</w:t>
            </w:r>
          </w:p>
        </w:tc>
        <w:tc>
          <w:tcPr>
            <w:tcW w:w="1956" w:type="dxa"/>
            <w:noWrap w:val="0"/>
            <w:vAlign w:val="top"/>
          </w:tcPr>
          <w:p>
            <w:pPr>
              <w:jc w:val="center"/>
            </w:pPr>
            <w:r>
              <w:rPr>
                <w:rFonts w:hint="eastAsia"/>
                <w:sz w:val="24"/>
              </w:rPr>
              <w:t>上海松江、泛海三江</w:t>
            </w:r>
            <w:r>
              <w:rPr>
                <w:rFonts w:hint="eastAsia"/>
                <w:sz w:val="24"/>
                <w:lang w:eastAsia="zh-CN"/>
              </w:rPr>
              <w:t>、海湾</w:t>
            </w:r>
          </w:p>
        </w:tc>
        <w:tc>
          <w:tcPr>
            <w:tcW w:w="1956" w:type="dxa"/>
            <w:noWrap w:val="0"/>
            <w:vAlign w:val="top"/>
          </w:tcPr>
          <w:p>
            <w:pPr>
              <w:jc w:val="center"/>
              <w:rPr>
                <w:rFonts w:hint="eastAsia"/>
                <w:sz w:val="24"/>
              </w:rPr>
            </w:pPr>
          </w:p>
        </w:tc>
        <w:tc>
          <w:tcPr>
            <w:tcW w:w="1956" w:type="dxa"/>
            <w:noWrap w:val="0"/>
            <w:vAlign w:val="top"/>
          </w:tcPr>
          <w:p>
            <w:pPr>
              <w:jc w:val="cente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5" w:type="dxa"/>
            <w:noWrap w:val="0"/>
            <w:vAlign w:val="top"/>
          </w:tcPr>
          <w:p>
            <w:pPr>
              <w:jc w:val="center"/>
              <w:rPr>
                <w:rFonts w:hint="eastAsia" w:eastAsia="宋体"/>
                <w:sz w:val="24"/>
                <w:lang w:val="en-US" w:eastAsia="zh-CN"/>
              </w:rPr>
            </w:pPr>
            <w:r>
              <w:rPr>
                <w:rFonts w:hint="eastAsia"/>
                <w:sz w:val="24"/>
                <w:lang w:val="en-US" w:eastAsia="zh-CN"/>
              </w:rPr>
              <w:t>12</w:t>
            </w:r>
          </w:p>
        </w:tc>
        <w:tc>
          <w:tcPr>
            <w:tcW w:w="1955" w:type="dxa"/>
            <w:noWrap w:val="0"/>
            <w:vAlign w:val="top"/>
          </w:tcPr>
          <w:p>
            <w:pPr>
              <w:jc w:val="center"/>
              <w:rPr>
                <w:rFonts w:hint="eastAsia"/>
                <w:sz w:val="24"/>
              </w:rPr>
            </w:pPr>
            <w:r>
              <w:rPr>
                <w:rFonts w:hint="eastAsia"/>
                <w:sz w:val="24"/>
              </w:rPr>
              <w:t>消防警铃</w:t>
            </w:r>
          </w:p>
        </w:tc>
        <w:tc>
          <w:tcPr>
            <w:tcW w:w="1956" w:type="dxa"/>
            <w:noWrap w:val="0"/>
            <w:vAlign w:val="top"/>
          </w:tcPr>
          <w:p>
            <w:pPr>
              <w:jc w:val="center"/>
              <w:rPr>
                <w:rFonts w:hint="eastAsia"/>
                <w:sz w:val="24"/>
              </w:rPr>
            </w:pPr>
            <w:r>
              <w:rPr>
                <w:rFonts w:hint="eastAsia"/>
                <w:sz w:val="24"/>
              </w:rPr>
              <w:t>上海松江、泛海三江</w:t>
            </w:r>
            <w:r>
              <w:rPr>
                <w:rFonts w:hint="eastAsia"/>
                <w:sz w:val="24"/>
                <w:lang w:eastAsia="zh-CN"/>
              </w:rPr>
              <w:t>、海湾</w:t>
            </w:r>
          </w:p>
        </w:tc>
        <w:tc>
          <w:tcPr>
            <w:tcW w:w="1956" w:type="dxa"/>
            <w:noWrap w:val="0"/>
            <w:vAlign w:val="top"/>
          </w:tcPr>
          <w:p>
            <w:pPr>
              <w:jc w:val="center"/>
              <w:rPr>
                <w:rFonts w:hint="eastAsia"/>
                <w:sz w:val="24"/>
              </w:rPr>
            </w:pPr>
          </w:p>
        </w:tc>
        <w:tc>
          <w:tcPr>
            <w:tcW w:w="1956" w:type="dxa"/>
            <w:noWrap w:val="0"/>
            <w:vAlign w:val="top"/>
          </w:tcPr>
          <w:p>
            <w:pPr>
              <w:jc w:val="cente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5" w:type="dxa"/>
            <w:noWrap w:val="0"/>
            <w:vAlign w:val="top"/>
          </w:tcPr>
          <w:p>
            <w:pPr>
              <w:jc w:val="center"/>
              <w:rPr>
                <w:rFonts w:hint="eastAsia"/>
                <w:sz w:val="24"/>
                <w:lang w:val="en-US" w:eastAsia="zh-CN"/>
              </w:rPr>
            </w:pPr>
            <w:r>
              <w:rPr>
                <w:rFonts w:hint="eastAsia"/>
                <w:sz w:val="24"/>
                <w:lang w:val="en-US" w:eastAsia="zh-CN"/>
              </w:rPr>
              <w:t>13</w:t>
            </w:r>
          </w:p>
        </w:tc>
        <w:tc>
          <w:tcPr>
            <w:tcW w:w="1955" w:type="dxa"/>
            <w:noWrap w:val="0"/>
            <w:vAlign w:val="top"/>
          </w:tcPr>
          <w:p>
            <w:pPr>
              <w:jc w:val="center"/>
              <w:rPr>
                <w:rFonts w:hint="eastAsia" w:eastAsia="宋体"/>
                <w:sz w:val="24"/>
                <w:lang w:eastAsia="zh-CN"/>
              </w:rPr>
            </w:pPr>
            <w:r>
              <w:rPr>
                <w:rFonts w:hint="eastAsia"/>
                <w:sz w:val="24"/>
                <w:lang w:eastAsia="zh-CN"/>
              </w:rPr>
              <w:t>温感</w:t>
            </w:r>
          </w:p>
        </w:tc>
        <w:tc>
          <w:tcPr>
            <w:tcW w:w="1956" w:type="dxa"/>
            <w:noWrap w:val="0"/>
            <w:vAlign w:val="top"/>
          </w:tcPr>
          <w:p>
            <w:pPr>
              <w:jc w:val="center"/>
              <w:rPr>
                <w:rFonts w:hint="eastAsia"/>
                <w:sz w:val="24"/>
              </w:rPr>
            </w:pPr>
            <w:r>
              <w:rPr>
                <w:rFonts w:hint="eastAsia"/>
                <w:sz w:val="24"/>
              </w:rPr>
              <w:t>上海松江、泛海三江</w:t>
            </w:r>
            <w:r>
              <w:rPr>
                <w:rFonts w:hint="eastAsia"/>
                <w:sz w:val="24"/>
                <w:lang w:eastAsia="zh-CN"/>
              </w:rPr>
              <w:t>、海湾</w:t>
            </w:r>
          </w:p>
        </w:tc>
        <w:tc>
          <w:tcPr>
            <w:tcW w:w="1956" w:type="dxa"/>
            <w:noWrap w:val="0"/>
            <w:vAlign w:val="top"/>
          </w:tcPr>
          <w:p>
            <w:pPr>
              <w:jc w:val="center"/>
              <w:rPr>
                <w:rFonts w:hint="eastAsia"/>
                <w:sz w:val="24"/>
              </w:rPr>
            </w:pPr>
          </w:p>
        </w:tc>
        <w:tc>
          <w:tcPr>
            <w:tcW w:w="1956" w:type="dxa"/>
            <w:noWrap w:val="0"/>
            <w:vAlign w:val="top"/>
          </w:tcPr>
          <w:p>
            <w:pPr>
              <w:jc w:val="center"/>
              <w:rPr>
                <w:rFonts w:hint="eastAsia"/>
                <w:sz w:val="24"/>
              </w:rPr>
            </w:pPr>
          </w:p>
        </w:tc>
      </w:tr>
    </w:tbl>
    <w:p>
      <w:pPr>
        <w:widowControl/>
        <w:numPr>
          <w:ilvl w:val="0"/>
          <w:numId w:val="0"/>
        </w:numPr>
        <w:wordWrap w:val="0"/>
        <w:spacing w:line="360" w:lineRule="auto"/>
        <w:ind w:leftChars="0"/>
        <w:jc w:val="left"/>
        <w:rPr>
          <w:rFonts w:hint="eastAsia"/>
          <w:sz w:val="24"/>
        </w:rPr>
      </w:pPr>
      <w:r>
        <w:rPr>
          <w:rFonts w:hint="eastAsia"/>
          <w:sz w:val="24"/>
        </w:rPr>
        <w:t>备注：以上配件价格均为包更换、发票和系统调试的费用。</w:t>
      </w:r>
    </w:p>
    <w:p>
      <w:pPr>
        <w:widowControl/>
        <w:numPr>
          <w:ilvl w:val="0"/>
          <w:numId w:val="2"/>
        </w:numPr>
        <w:wordWrap w:val="0"/>
        <w:spacing w:line="360" w:lineRule="auto"/>
        <w:ind w:left="425" w:leftChars="0" w:hanging="425" w:firstLineChars="0"/>
        <w:jc w:val="left"/>
        <w:rPr>
          <w:rFonts w:hint="eastAsia" w:eastAsia="宋体"/>
          <w:b/>
          <w:bCs/>
          <w:sz w:val="24"/>
          <w:lang w:val="en-US" w:eastAsia="zh-CN"/>
        </w:rPr>
      </w:pPr>
      <w:r>
        <w:rPr>
          <w:rFonts w:hint="eastAsia"/>
          <w:b/>
          <w:bCs/>
          <w:sz w:val="24"/>
          <w:lang w:val="en-US" w:eastAsia="zh-CN"/>
        </w:rPr>
        <w:t>报价单位可以免费提供的配件和材料</w:t>
      </w:r>
    </w:p>
    <w:tbl>
      <w:tblPr>
        <w:tblStyle w:val="12"/>
        <w:tblW w:w="9492" w:type="dxa"/>
        <w:jc w:val="center"/>
        <w:tblInd w:w="-6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36"/>
        <w:gridCol w:w="2130"/>
        <w:gridCol w:w="2131"/>
        <w:gridCol w:w="2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736" w:type="dxa"/>
            <w:noWrap w:val="0"/>
            <w:vAlign w:val="top"/>
          </w:tcPr>
          <w:p>
            <w:pPr>
              <w:jc w:val="center"/>
              <w:rPr>
                <w:rFonts w:hint="eastAsia"/>
                <w:b/>
                <w:bCs/>
                <w:sz w:val="24"/>
              </w:rPr>
            </w:pPr>
            <w:r>
              <w:rPr>
                <w:rFonts w:hint="eastAsia"/>
                <w:b/>
                <w:bCs/>
                <w:sz w:val="24"/>
              </w:rPr>
              <w:t>序号</w:t>
            </w:r>
          </w:p>
        </w:tc>
        <w:tc>
          <w:tcPr>
            <w:tcW w:w="2130" w:type="dxa"/>
            <w:noWrap w:val="0"/>
            <w:vAlign w:val="top"/>
          </w:tcPr>
          <w:p>
            <w:pPr>
              <w:jc w:val="center"/>
              <w:rPr>
                <w:rFonts w:hint="eastAsia"/>
                <w:b/>
                <w:bCs/>
                <w:sz w:val="24"/>
              </w:rPr>
            </w:pPr>
            <w:r>
              <w:rPr>
                <w:rFonts w:hint="eastAsia"/>
                <w:b/>
                <w:bCs/>
                <w:sz w:val="24"/>
              </w:rPr>
              <w:t>配件名称</w:t>
            </w:r>
          </w:p>
        </w:tc>
        <w:tc>
          <w:tcPr>
            <w:tcW w:w="2131" w:type="dxa"/>
            <w:noWrap w:val="0"/>
            <w:vAlign w:val="top"/>
          </w:tcPr>
          <w:p>
            <w:pPr>
              <w:jc w:val="center"/>
              <w:rPr>
                <w:rFonts w:hint="eastAsia"/>
                <w:b/>
                <w:bCs/>
                <w:sz w:val="24"/>
              </w:rPr>
            </w:pPr>
            <w:r>
              <w:rPr>
                <w:rFonts w:hint="eastAsia"/>
                <w:b/>
                <w:bCs/>
                <w:sz w:val="24"/>
              </w:rPr>
              <w:t>品牌</w:t>
            </w:r>
          </w:p>
        </w:tc>
        <w:tc>
          <w:tcPr>
            <w:tcW w:w="2495" w:type="dxa"/>
            <w:noWrap w:val="0"/>
            <w:vAlign w:val="top"/>
          </w:tcPr>
          <w:p>
            <w:pPr>
              <w:jc w:val="center"/>
              <w:rPr>
                <w:rFonts w:hint="eastAsia"/>
                <w:b/>
                <w:bCs/>
                <w:sz w:val="24"/>
              </w:rPr>
            </w:pPr>
            <w:r>
              <w:rPr>
                <w:rFonts w:hint="eastAsia"/>
                <w:b/>
                <w:bCs/>
                <w:sz w:val="24"/>
              </w:rPr>
              <w:t>单价(元/个)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736" w:type="dxa"/>
            <w:noWrap w:val="0"/>
            <w:vAlign w:val="top"/>
          </w:tcPr>
          <w:p>
            <w:pPr>
              <w:jc w:val="center"/>
              <w:rPr>
                <w:rFonts w:hint="eastAsia"/>
                <w:b w:val="0"/>
                <w:bCs w:val="0"/>
                <w:sz w:val="24"/>
              </w:rPr>
            </w:pPr>
            <w:r>
              <w:rPr>
                <w:rFonts w:hint="eastAsia"/>
                <w:b w:val="0"/>
                <w:bCs w:val="0"/>
                <w:sz w:val="24"/>
              </w:rPr>
              <w:t>1</w:t>
            </w:r>
          </w:p>
        </w:tc>
        <w:tc>
          <w:tcPr>
            <w:tcW w:w="2130" w:type="dxa"/>
            <w:noWrap w:val="0"/>
            <w:vAlign w:val="top"/>
          </w:tcPr>
          <w:p>
            <w:pPr>
              <w:jc w:val="center"/>
              <w:rPr>
                <w:rFonts w:hint="eastAsia"/>
                <w:b w:val="0"/>
                <w:bCs w:val="0"/>
                <w:sz w:val="24"/>
              </w:rPr>
            </w:pPr>
          </w:p>
        </w:tc>
        <w:tc>
          <w:tcPr>
            <w:tcW w:w="2131" w:type="dxa"/>
            <w:noWrap w:val="0"/>
            <w:vAlign w:val="top"/>
          </w:tcPr>
          <w:p>
            <w:pPr>
              <w:jc w:val="center"/>
              <w:rPr>
                <w:rFonts w:hint="eastAsia"/>
                <w:b w:val="0"/>
                <w:bCs w:val="0"/>
                <w:sz w:val="24"/>
                <w:lang w:eastAsia="zh-CN"/>
              </w:rPr>
            </w:pPr>
          </w:p>
        </w:tc>
        <w:tc>
          <w:tcPr>
            <w:tcW w:w="2495" w:type="dxa"/>
            <w:noWrap w:val="0"/>
            <w:vAlign w:val="top"/>
          </w:tcPr>
          <w:p>
            <w:pPr>
              <w:jc w:val="center"/>
              <w:rPr>
                <w:rFonts w:hint="eastAsia"/>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736" w:type="dxa"/>
            <w:noWrap w:val="0"/>
            <w:vAlign w:val="top"/>
          </w:tcPr>
          <w:p>
            <w:pPr>
              <w:jc w:val="center"/>
              <w:rPr>
                <w:rFonts w:hint="eastAsia" w:eastAsia="宋体"/>
                <w:b w:val="0"/>
                <w:bCs w:val="0"/>
                <w:sz w:val="24"/>
                <w:lang w:val="en-US" w:eastAsia="zh-CN"/>
              </w:rPr>
            </w:pPr>
            <w:r>
              <w:rPr>
                <w:rFonts w:hint="eastAsia"/>
                <w:b w:val="0"/>
                <w:bCs w:val="0"/>
                <w:sz w:val="24"/>
                <w:lang w:val="en-US" w:eastAsia="zh-CN"/>
              </w:rPr>
              <w:t>2</w:t>
            </w:r>
          </w:p>
        </w:tc>
        <w:tc>
          <w:tcPr>
            <w:tcW w:w="2130" w:type="dxa"/>
            <w:noWrap w:val="0"/>
            <w:vAlign w:val="top"/>
          </w:tcPr>
          <w:p>
            <w:pPr>
              <w:jc w:val="center"/>
              <w:rPr>
                <w:rFonts w:hint="eastAsia"/>
                <w:b w:val="0"/>
                <w:bCs w:val="0"/>
                <w:sz w:val="24"/>
              </w:rPr>
            </w:pPr>
          </w:p>
        </w:tc>
        <w:tc>
          <w:tcPr>
            <w:tcW w:w="2131" w:type="dxa"/>
            <w:noWrap w:val="0"/>
            <w:vAlign w:val="top"/>
          </w:tcPr>
          <w:p>
            <w:pPr>
              <w:jc w:val="center"/>
              <w:rPr>
                <w:rFonts w:hint="eastAsia"/>
                <w:b w:val="0"/>
                <w:bCs w:val="0"/>
                <w:sz w:val="24"/>
                <w:lang w:eastAsia="zh-CN"/>
              </w:rPr>
            </w:pPr>
          </w:p>
        </w:tc>
        <w:tc>
          <w:tcPr>
            <w:tcW w:w="2495" w:type="dxa"/>
            <w:noWrap w:val="0"/>
            <w:vAlign w:val="top"/>
          </w:tcPr>
          <w:p>
            <w:pPr>
              <w:jc w:val="center"/>
              <w:rPr>
                <w:rFonts w:hint="eastAsia"/>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736" w:type="dxa"/>
            <w:noWrap w:val="0"/>
            <w:vAlign w:val="top"/>
          </w:tcPr>
          <w:p>
            <w:pPr>
              <w:jc w:val="center"/>
              <w:rPr>
                <w:rFonts w:hint="eastAsia"/>
                <w:b w:val="0"/>
                <w:bCs w:val="0"/>
                <w:sz w:val="24"/>
                <w:lang w:val="en-US" w:eastAsia="zh-CN"/>
              </w:rPr>
            </w:pPr>
            <w:r>
              <w:rPr>
                <w:rFonts w:hint="eastAsia"/>
                <w:b w:val="0"/>
                <w:bCs w:val="0"/>
                <w:sz w:val="24"/>
                <w:lang w:val="en-US" w:eastAsia="zh-CN"/>
              </w:rPr>
              <w:t>3</w:t>
            </w:r>
          </w:p>
        </w:tc>
        <w:tc>
          <w:tcPr>
            <w:tcW w:w="2130" w:type="dxa"/>
            <w:noWrap w:val="0"/>
            <w:vAlign w:val="top"/>
          </w:tcPr>
          <w:p>
            <w:pPr>
              <w:jc w:val="center"/>
              <w:rPr>
                <w:rFonts w:hint="eastAsia"/>
                <w:b w:val="0"/>
                <w:bCs w:val="0"/>
                <w:sz w:val="24"/>
              </w:rPr>
            </w:pPr>
          </w:p>
        </w:tc>
        <w:tc>
          <w:tcPr>
            <w:tcW w:w="2131" w:type="dxa"/>
            <w:noWrap w:val="0"/>
            <w:vAlign w:val="top"/>
          </w:tcPr>
          <w:p>
            <w:pPr>
              <w:jc w:val="center"/>
              <w:rPr>
                <w:rFonts w:hint="eastAsia"/>
                <w:b w:val="0"/>
                <w:bCs w:val="0"/>
                <w:sz w:val="24"/>
                <w:lang w:eastAsia="zh-CN"/>
              </w:rPr>
            </w:pPr>
          </w:p>
        </w:tc>
        <w:tc>
          <w:tcPr>
            <w:tcW w:w="2495" w:type="dxa"/>
            <w:noWrap w:val="0"/>
            <w:vAlign w:val="top"/>
          </w:tcPr>
          <w:p>
            <w:pPr>
              <w:jc w:val="center"/>
              <w:rPr>
                <w:rFonts w:hint="eastAsia"/>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736" w:type="dxa"/>
            <w:noWrap w:val="0"/>
            <w:vAlign w:val="top"/>
          </w:tcPr>
          <w:p>
            <w:pPr>
              <w:jc w:val="center"/>
              <w:rPr>
                <w:rFonts w:hint="eastAsia"/>
                <w:b w:val="0"/>
                <w:bCs w:val="0"/>
                <w:sz w:val="24"/>
                <w:lang w:val="en-US" w:eastAsia="zh-CN"/>
              </w:rPr>
            </w:pPr>
            <w:r>
              <w:rPr>
                <w:rFonts w:hint="eastAsia"/>
                <w:b w:val="0"/>
                <w:bCs w:val="0"/>
                <w:sz w:val="24"/>
                <w:lang w:val="en-US" w:eastAsia="zh-CN"/>
              </w:rPr>
              <w:t>4</w:t>
            </w:r>
          </w:p>
        </w:tc>
        <w:tc>
          <w:tcPr>
            <w:tcW w:w="2130" w:type="dxa"/>
            <w:noWrap w:val="0"/>
            <w:vAlign w:val="top"/>
          </w:tcPr>
          <w:p>
            <w:pPr>
              <w:jc w:val="center"/>
              <w:rPr>
                <w:rFonts w:hint="eastAsia"/>
                <w:b w:val="0"/>
                <w:bCs w:val="0"/>
                <w:sz w:val="24"/>
              </w:rPr>
            </w:pPr>
          </w:p>
        </w:tc>
        <w:tc>
          <w:tcPr>
            <w:tcW w:w="2131" w:type="dxa"/>
            <w:noWrap w:val="0"/>
            <w:vAlign w:val="top"/>
          </w:tcPr>
          <w:p>
            <w:pPr>
              <w:jc w:val="center"/>
              <w:rPr>
                <w:rFonts w:hint="eastAsia"/>
                <w:b w:val="0"/>
                <w:bCs w:val="0"/>
                <w:sz w:val="24"/>
                <w:lang w:eastAsia="zh-CN"/>
              </w:rPr>
            </w:pPr>
          </w:p>
        </w:tc>
        <w:tc>
          <w:tcPr>
            <w:tcW w:w="2495" w:type="dxa"/>
            <w:noWrap w:val="0"/>
            <w:vAlign w:val="top"/>
          </w:tcPr>
          <w:p>
            <w:pPr>
              <w:jc w:val="center"/>
              <w:rPr>
                <w:rFonts w:hint="eastAsia"/>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736" w:type="dxa"/>
            <w:noWrap w:val="0"/>
            <w:vAlign w:val="top"/>
          </w:tcPr>
          <w:p>
            <w:pPr>
              <w:jc w:val="center"/>
              <w:rPr>
                <w:rFonts w:hint="eastAsia"/>
                <w:b w:val="0"/>
                <w:bCs w:val="0"/>
                <w:sz w:val="24"/>
                <w:lang w:val="en-US" w:eastAsia="zh-CN"/>
              </w:rPr>
            </w:pPr>
            <w:r>
              <w:rPr>
                <w:rFonts w:hint="eastAsia"/>
                <w:b w:val="0"/>
                <w:bCs w:val="0"/>
                <w:sz w:val="24"/>
                <w:lang w:val="en-US" w:eastAsia="zh-CN"/>
              </w:rPr>
              <w:t>5</w:t>
            </w:r>
          </w:p>
        </w:tc>
        <w:tc>
          <w:tcPr>
            <w:tcW w:w="2130" w:type="dxa"/>
            <w:noWrap w:val="0"/>
            <w:vAlign w:val="top"/>
          </w:tcPr>
          <w:p>
            <w:pPr>
              <w:jc w:val="center"/>
              <w:rPr>
                <w:rFonts w:hint="eastAsia"/>
                <w:b w:val="0"/>
                <w:bCs w:val="0"/>
                <w:sz w:val="24"/>
              </w:rPr>
            </w:pPr>
          </w:p>
        </w:tc>
        <w:tc>
          <w:tcPr>
            <w:tcW w:w="2131" w:type="dxa"/>
            <w:noWrap w:val="0"/>
            <w:vAlign w:val="top"/>
          </w:tcPr>
          <w:p>
            <w:pPr>
              <w:jc w:val="center"/>
              <w:rPr>
                <w:rFonts w:hint="eastAsia"/>
                <w:b w:val="0"/>
                <w:bCs w:val="0"/>
                <w:sz w:val="24"/>
                <w:lang w:eastAsia="zh-CN"/>
              </w:rPr>
            </w:pPr>
          </w:p>
        </w:tc>
        <w:tc>
          <w:tcPr>
            <w:tcW w:w="2495" w:type="dxa"/>
            <w:noWrap w:val="0"/>
            <w:vAlign w:val="top"/>
          </w:tcPr>
          <w:p>
            <w:pPr>
              <w:jc w:val="center"/>
              <w:rPr>
                <w:rFonts w:hint="eastAsia"/>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736" w:type="dxa"/>
            <w:noWrap w:val="0"/>
            <w:vAlign w:val="top"/>
          </w:tcPr>
          <w:p>
            <w:pPr>
              <w:jc w:val="center"/>
              <w:rPr>
                <w:rFonts w:hint="eastAsia"/>
                <w:b w:val="0"/>
                <w:bCs w:val="0"/>
                <w:sz w:val="24"/>
                <w:lang w:val="en-US" w:eastAsia="zh-CN"/>
              </w:rPr>
            </w:pPr>
            <w:r>
              <w:rPr>
                <w:rFonts w:hint="eastAsia"/>
                <w:b w:val="0"/>
                <w:bCs w:val="0"/>
                <w:sz w:val="24"/>
                <w:lang w:val="en-US" w:eastAsia="zh-CN"/>
              </w:rPr>
              <w:t>6</w:t>
            </w:r>
          </w:p>
        </w:tc>
        <w:tc>
          <w:tcPr>
            <w:tcW w:w="2130" w:type="dxa"/>
            <w:noWrap w:val="0"/>
            <w:vAlign w:val="top"/>
          </w:tcPr>
          <w:p>
            <w:pPr>
              <w:jc w:val="center"/>
              <w:rPr>
                <w:rFonts w:hint="eastAsia"/>
                <w:b w:val="0"/>
                <w:bCs w:val="0"/>
                <w:sz w:val="24"/>
              </w:rPr>
            </w:pPr>
          </w:p>
        </w:tc>
        <w:tc>
          <w:tcPr>
            <w:tcW w:w="2131" w:type="dxa"/>
            <w:noWrap w:val="0"/>
            <w:vAlign w:val="top"/>
          </w:tcPr>
          <w:p>
            <w:pPr>
              <w:jc w:val="center"/>
              <w:rPr>
                <w:rFonts w:hint="eastAsia"/>
                <w:b w:val="0"/>
                <w:bCs w:val="0"/>
                <w:sz w:val="24"/>
                <w:lang w:eastAsia="zh-CN"/>
              </w:rPr>
            </w:pPr>
          </w:p>
        </w:tc>
        <w:tc>
          <w:tcPr>
            <w:tcW w:w="2495" w:type="dxa"/>
            <w:noWrap w:val="0"/>
            <w:vAlign w:val="top"/>
          </w:tcPr>
          <w:p>
            <w:pPr>
              <w:jc w:val="center"/>
              <w:rPr>
                <w:rFonts w:hint="eastAsia"/>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736" w:type="dxa"/>
            <w:noWrap w:val="0"/>
            <w:vAlign w:val="top"/>
          </w:tcPr>
          <w:p>
            <w:pPr>
              <w:jc w:val="center"/>
              <w:rPr>
                <w:rFonts w:hint="eastAsia"/>
                <w:b w:val="0"/>
                <w:bCs w:val="0"/>
                <w:sz w:val="24"/>
                <w:lang w:val="en-US" w:eastAsia="zh-CN"/>
              </w:rPr>
            </w:pPr>
            <w:r>
              <w:rPr>
                <w:rFonts w:hint="eastAsia"/>
                <w:b w:val="0"/>
                <w:bCs w:val="0"/>
                <w:sz w:val="24"/>
                <w:lang w:val="en-US" w:eastAsia="zh-CN"/>
              </w:rPr>
              <w:t>7</w:t>
            </w:r>
          </w:p>
        </w:tc>
        <w:tc>
          <w:tcPr>
            <w:tcW w:w="2130" w:type="dxa"/>
            <w:noWrap w:val="0"/>
            <w:vAlign w:val="top"/>
          </w:tcPr>
          <w:p>
            <w:pPr>
              <w:jc w:val="center"/>
              <w:rPr>
                <w:rFonts w:hint="eastAsia"/>
                <w:b w:val="0"/>
                <w:bCs w:val="0"/>
                <w:sz w:val="24"/>
              </w:rPr>
            </w:pPr>
          </w:p>
        </w:tc>
        <w:tc>
          <w:tcPr>
            <w:tcW w:w="2131" w:type="dxa"/>
            <w:noWrap w:val="0"/>
            <w:vAlign w:val="top"/>
          </w:tcPr>
          <w:p>
            <w:pPr>
              <w:jc w:val="center"/>
              <w:rPr>
                <w:rFonts w:hint="eastAsia"/>
                <w:b w:val="0"/>
                <w:bCs w:val="0"/>
                <w:sz w:val="24"/>
                <w:lang w:eastAsia="zh-CN"/>
              </w:rPr>
            </w:pPr>
          </w:p>
        </w:tc>
        <w:tc>
          <w:tcPr>
            <w:tcW w:w="2495" w:type="dxa"/>
            <w:noWrap w:val="0"/>
            <w:vAlign w:val="top"/>
          </w:tcPr>
          <w:p>
            <w:pPr>
              <w:jc w:val="center"/>
              <w:rPr>
                <w:rFonts w:hint="eastAsia"/>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736" w:type="dxa"/>
            <w:noWrap w:val="0"/>
            <w:vAlign w:val="top"/>
          </w:tcPr>
          <w:p>
            <w:pPr>
              <w:jc w:val="center"/>
              <w:rPr>
                <w:rFonts w:hint="eastAsia"/>
                <w:b w:val="0"/>
                <w:bCs w:val="0"/>
                <w:sz w:val="24"/>
                <w:lang w:val="en-US" w:eastAsia="zh-CN"/>
              </w:rPr>
            </w:pPr>
            <w:r>
              <w:rPr>
                <w:rFonts w:hint="eastAsia"/>
                <w:b w:val="0"/>
                <w:bCs w:val="0"/>
                <w:sz w:val="24"/>
                <w:lang w:val="en-US" w:eastAsia="zh-CN"/>
              </w:rPr>
              <w:t>8</w:t>
            </w:r>
          </w:p>
        </w:tc>
        <w:tc>
          <w:tcPr>
            <w:tcW w:w="2130" w:type="dxa"/>
            <w:noWrap w:val="0"/>
            <w:vAlign w:val="top"/>
          </w:tcPr>
          <w:p>
            <w:pPr>
              <w:jc w:val="center"/>
              <w:rPr>
                <w:rFonts w:hint="eastAsia"/>
                <w:b w:val="0"/>
                <w:bCs w:val="0"/>
                <w:sz w:val="24"/>
              </w:rPr>
            </w:pPr>
          </w:p>
        </w:tc>
        <w:tc>
          <w:tcPr>
            <w:tcW w:w="2131" w:type="dxa"/>
            <w:noWrap w:val="0"/>
            <w:vAlign w:val="top"/>
          </w:tcPr>
          <w:p>
            <w:pPr>
              <w:jc w:val="center"/>
              <w:rPr>
                <w:rFonts w:hint="eastAsia"/>
                <w:b w:val="0"/>
                <w:bCs w:val="0"/>
                <w:sz w:val="24"/>
                <w:lang w:eastAsia="zh-CN"/>
              </w:rPr>
            </w:pPr>
          </w:p>
        </w:tc>
        <w:tc>
          <w:tcPr>
            <w:tcW w:w="2495" w:type="dxa"/>
            <w:noWrap w:val="0"/>
            <w:vAlign w:val="top"/>
          </w:tcPr>
          <w:p>
            <w:pPr>
              <w:jc w:val="center"/>
              <w:rPr>
                <w:rFonts w:hint="eastAsia"/>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736" w:type="dxa"/>
            <w:noWrap w:val="0"/>
            <w:vAlign w:val="top"/>
          </w:tcPr>
          <w:p>
            <w:pPr>
              <w:jc w:val="center"/>
              <w:rPr>
                <w:rFonts w:hint="eastAsia"/>
                <w:b w:val="0"/>
                <w:bCs w:val="0"/>
                <w:sz w:val="24"/>
                <w:lang w:val="en-US" w:eastAsia="zh-CN"/>
              </w:rPr>
            </w:pPr>
            <w:r>
              <w:rPr>
                <w:rFonts w:hint="eastAsia"/>
                <w:b w:val="0"/>
                <w:bCs w:val="0"/>
                <w:sz w:val="24"/>
                <w:lang w:val="en-US" w:eastAsia="zh-CN"/>
              </w:rPr>
              <w:t>9</w:t>
            </w:r>
          </w:p>
        </w:tc>
        <w:tc>
          <w:tcPr>
            <w:tcW w:w="2130" w:type="dxa"/>
            <w:noWrap w:val="0"/>
            <w:vAlign w:val="top"/>
          </w:tcPr>
          <w:p>
            <w:pPr>
              <w:jc w:val="center"/>
              <w:rPr>
                <w:rFonts w:hint="eastAsia"/>
                <w:b w:val="0"/>
                <w:bCs w:val="0"/>
                <w:sz w:val="24"/>
              </w:rPr>
            </w:pPr>
          </w:p>
        </w:tc>
        <w:tc>
          <w:tcPr>
            <w:tcW w:w="2131" w:type="dxa"/>
            <w:noWrap w:val="0"/>
            <w:vAlign w:val="top"/>
          </w:tcPr>
          <w:p>
            <w:pPr>
              <w:jc w:val="center"/>
              <w:rPr>
                <w:rFonts w:hint="eastAsia"/>
                <w:b w:val="0"/>
                <w:bCs w:val="0"/>
                <w:sz w:val="24"/>
                <w:lang w:eastAsia="zh-CN"/>
              </w:rPr>
            </w:pPr>
          </w:p>
        </w:tc>
        <w:tc>
          <w:tcPr>
            <w:tcW w:w="2495" w:type="dxa"/>
            <w:noWrap w:val="0"/>
            <w:vAlign w:val="top"/>
          </w:tcPr>
          <w:p>
            <w:pPr>
              <w:jc w:val="center"/>
              <w:rPr>
                <w:rFonts w:hint="eastAsia"/>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736" w:type="dxa"/>
            <w:noWrap w:val="0"/>
            <w:vAlign w:val="top"/>
          </w:tcPr>
          <w:p>
            <w:pPr>
              <w:jc w:val="center"/>
              <w:rPr>
                <w:rFonts w:hint="eastAsia"/>
                <w:b w:val="0"/>
                <w:bCs w:val="0"/>
                <w:sz w:val="24"/>
                <w:lang w:val="en-US" w:eastAsia="zh-CN"/>
              </w:rPr>
            </w:pPr>
            <w:r>
              <w:rPr>
                <w:rFonts w:hint="eastAsia"/>
                <w:b w:val="0"/>
                <w:bCs w:val="0"/>
                <w:sz w:val="24"/>
                <w:lang w:val="en-US" w:eastAsia="zh-CN"/>
              </w:rPr>
              <w:t>10</w:t>
            </w:r>
          </w:p>
        </w:tc>
        <w:tc>
          <w:tcPr>
            <w:tcW w:w="2130" w:type="dxa"/>
            <w:noWrap w:val="0"/>
            <w:vAlign w:val="top"/>
          </w:tcPr>
          <w:p>
            <w:pPr>
              <w:jc w:val="center"/>
              <w:rPr>
                <w:rFonts w:hint="eastAsia"/>
                <w:b w:val="0"/>
                <w:bCs w:val="0"/>
                <w:sz w:val="24"/>
              </w:rPr>
            </w:pPr>
          </w:p>
        </w:tc>
        <w:tc>
          <w:tcPr>
            <w:tcW w:w="2131" w:type="dxa"/>
            <w:noWrap w:val="0"/>
            <w:vAlign w:val="top"/>
          </w:tcPr>
          <w:p>
            <w:pPr>
              <w:jc w:val="center"/>
              <w:rPr>
                <w:rFonts w:hint="eastAsia"/>
                <w:b w:val="0"/>
                <w:bCs w:val="0"/>
                <w:sz w:val="24"/>
                <w:lang w:eastAsia="zh-CN"/>
              </w:rPr>
            </w:pPr>
          </w:p>
        </w:tc>
        <w:tc>
          <w:tcPr>
            <w:tcW w:w="2495" w:type="dxa"/>
            <w:noWrap w:val="0"/>
            <w:vAlign w:val="top"/>
          </w:tcPr>
          <w:p>
            <w:pPr>
              <w:jc w:val="center"/>
              <w:rPr>
                <w:rFonts w:hint="eastAsia"/>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736" w:type="dxa"/>
            <w:noWrap w:val="0"/>
            <w:vAlign w:val="top"/>
          </w:tcPr>
          <w:p>
            <w:pPr>
              <w:jc w:val="center"/>
              <w:rPr>
                <w:rFonts w:hint="eastAsia"/>
                <w:b w:val="0"/>
                <w:bCs w:val="0"/>
                <w:sz w:val="24"/>
                <w:lang w:val="en-US" w:eastAsia="zh-CN"/>
              </w:rPr>
            </w:pPr>
            <w:r>
              <w:rPr>
                <w:rFonts w:hint="eastAsia"/>
                <w:b w:val="0"/>
                <w:bCs w:val="0"/>
                <w:sz w:val="24"/>
                <w:lang w:val="en-US" w:eastAsia="zh-CN"/>
              </w:rPr>
              <w:t>11</w:t>
            </w:r>
          </w:p>
        </w:tc>
        <w:tc>
          <w:tcPr>
            <w:tcW w:w="2130" w:type="dxa"/>
            <w:noWrap w:val="0"/>
            <w:vAlign w:val="top"/>
          </w:tcPr>
          <w:p>
            <w:pPr>
              <w:jc w:val="center"/>
              <w:rPr>
                <w:rFonts w:hint="eastAsia"/>
                <w:b w:val="0"/>
                <w:bCs w:val="0"/>
                <w:sz w:val="24"/>
              </w:rPr>
            </w:pPr>
          </w:p>
        </w:tc>
        <w:tc>
          <w:tcPr>
            <w:tcW w:w="2131" w:type="dxa"/>
            <w:noWrap w:val="0"/>
            <w:vAlign w:val="top"/>
          </w:tcPr>
          <w:p>
            <w:pPr>
              <w:jc w:val="center"/>
              <w:rPr>
                <w:rFonts w:hint="eastAsia"/>
                <w:b w:val="0"/>
                <w:bCs w:val="0"/>
                <w:sz w:val="24"/>
                <w:lang w:eastAsia="zh-CN"/>
              </w:rPr>
            </w:pPr>
          </w:p>
        </w:tc>
        <w:tc>
          <w:tcPr>
            <w:tcW w:w="2495" w:type="dxa"/>
            <w:noWrap w:val="0"/>
            <w:vAlign w:val="top"/>
          </w:tcPr>
          <w:p>
            <w:pPr>
              <w:jc w:val="center"/>
              <w:rPr>
                <w:rFonts w:hint="eastAsia"/>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736" w:type="dxa"/>
            <w:noWrap w:val="0"/>
            <w:vAlign w:val="top"/>
          </w:tcPr>
          <w:p>
            <w:pPr>
              <w:jc w:val="center"/>
              <w:rPr>
                <w:rFonts w:hint="eastAsia"/>
                <w:b w:val="0"/>
                <w:bCs w:val="0"/>
                <w:sz w:val="24"/>
                <w:lang w:val="en-US" w:eastAsia="zh-CN"/>
              </w:rPr>
            </w:pPr>
            <w:r>
              <w:rPr>
                <w:rFonts w:hint="eastAsia"/>
                <w:b w:val="0"/>
                <w:bCs w:val="0"/>
                <w:sz w:val="24"/>
                <w:lang w:val="en-US" w:eastAsia="zh-CN"/>
              </w:rPr>
              <w:t>12</w:t>
            </w:r>
          </w:p>
        </w:tc>
        <w:tc>
          <w:tcPr>
            <w:tcW w:w="2130" w:type="dxa"/>
            <w:noWrap w:val="0"/>
            <w:vAlign w:val="top"/>
          </w:tcPr>
          <w:p>
            <w:pPr>
              <w:jc w:val="center"/>
              <w:rPr>
                <w:rFonts w:hint="eastAsia"/>
                <w:b w:val="0"/>
                <w:bCs w:val="0"/>
                <w:sz w:val="24"/>
              </w:rPr>
            </w:pPr>
          </w:p>
        </w:tc>
        <w:tc>
          <w:tcPr>
            <w:tcW w:w="2131" w:type="dxa"/>
            <w:noWrap w:val="0"/>
            <w:vAlign w:val="top"/>
          </w:tcPr>
          <w:p>
            <w:pPr>
              <w:jc w:val="center"/>
              <w:rPr>
                <w:rFonts w:hint="eastAsia"/>
                <w:b w:val="0"/>
                <w:bCs w:val="0"/>
                <w:sz w:val="24"/>
                <w:lang w:eastAsia="zh-CN"/>
              </w:rPr>
            </w:pPr>
          </w:p>
        </w:tc>
        <w:tc>
          <w:tcPr>
            <w:tcW w:w="2495" w:type="dxa"/>
            <w:noWrap w:val="0"/>
            <w:vAlign w:val="top"/>
          </w:tcPr>
          <w:p>
            <w:pPr>
              <w:jc w:val="center"/>
              <w:rPr>
                <w:rFonts w:hint="eastAsia"/>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736" w:type="dxa"/>
            <w:noWrap w:val="0"/>
            <w:vAlign w:val="top"/>
          </w:tcPr>
          <w:p>
            <w:pPr>
              <w:jc w:val="center"/>
              <w:rPr>
                <w:rFonts w:hint="eastAsia"/>
                <w:b w:val="0"/>
                <w:bCs w:val="0"/>
                <w:sz w:val="24"/>
                <w:lang w:val="en-US" w:eastAsia="zh-CN"/>
              </w:rPr>
            </w:pPr>
            <w:r>
              <w:rPr>
                <w:rFonts w:hint="eastAsia"/>
                <w:b w:val="0"/>
                <w:bCs w:val="0"/>
                <w:sz w:val="24"/>
                <w:lang w:val="en-US" w:eastAsia="zh-CN"/>
              </w:rPr>
              <w:t>13</w:t>
            </w:r>
          </w:p>
        </w:tc>
        <w:tc>
          <w:tcPr>
            <w:tcW w:w="2130" w:type="dxa"/>
            <w:noWrap w:val="0"/>
            <w:vAlign w:val="top"/>
          </w:tcPr>
          <w:p>
            <w:pPr>
              <w:jc w:val="center"/>
              <w:rPr>
                <w:rFonts w:hint="eastAsia"/>
                <w:b w:val="0"/>
                <w:bCs w:val="0"/>
                <w:sz w:val="24"/>
              </w:rPr>
            </w:pPr>
          </w:p>
        </w:tc>
        <w:tc>
          <w:tcPr>
            <w:tcW w:w="2131" w:type="dxa"/>
            <w:noWrap w:val="0"/>
            <w:vAlign w:val="top"/>
          </w:tcPr>
          <w:p>
            <w:pPr>
              <w:jc w:val="center"/>
              <w:rPr>
                <w:rFonts w:hint="eastAsia"/>
                <w:b w:val="0"/>
                <w:bCs w:val="0"/>
                <w:sz w:val="24"/>
                <w:lang w:eastAsia="zh-CN"/>
              </w:rPr>
            </w:pPr>
          </w:p>
        </w:tc>
        <w:tc>
          <w:tcPr>
            <w:tcW w:w="2495" w:type="dxa"/>
            <w:noWrap w:val="0"/>
            <w:vAlign w:val="top"/>
          </w:tcPr>
          <w:p>
            <w:pPr>
              <w:jc w:val="center"/>
              <w:rPr>
                <w:rFonts w:hint="eastAsia"/>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736" w:type="dxa"/>
            <w:noWrap w:val="0"/>
            <w:vAlign w:val="top"/>
          </w:tcPr>
          <w:p>
            <w:pPr>
              <w:jc w:val="center"/>
              <w:rPr>
                <w:rFonts w:hint="eastAsia"/>
                <w:b w:val="0"/>
                <w:bCs w:val="0"/>
                <w:sz w:val="24"/>
                <w:lang w:val="en-US" w:eastAsia="zh-CN"/>
              </w:rPr>
            </w:pPr>
            <w:r>
              <w:rPr>
                <w:rFonts w:hint="eastAsia"/>
                <w:b w:val="0"/>
                <w:bCs w:val="0"/>
                <w:sz w:val="24"/>
                <w:lang w:val="en-US" w:eastAsia="zh-CN"/>
              </w:rPr>
              <w:t>14</w:t>
            </w:r>
          </w:p>
        </w:tc>
        <w:tc>
          <w:tcPr>
            <w:tcW w:w="2130" w:type="dxa"/>
            <w:noWrap w:val="0"/>
            <w:vAlign w:val="top"/>
          </w:tcPr>
          <w:p>
            <w:pPr>
              <w:jc w:val="center"/>
              <w:rPr>
                <w:rFonts w:hint="eastAsia"/>
                <w:b w:val="0"/>
                <w:bCs w:val="0"/>
                <w:sz w:val="24"/>
              </w:rPr>
            </w:pPr>
          </w:p>
        </w:tc>
        <w:tc>
          <w:tcPr>
            <w:tcW w:w="2131" w:type="dxa"/>
            <w:noWrap w:val="0"/>
            <w:vAlign w:val="top"/>
          </w:tcPr>
          <w:p>
            <w:pPr>
              <w:jc w:val="center"/>
              <w:rPr>
                <w:rFonts w:hint="eastAsia"/>
                <w:b w:val="0"/>
                <w:bCs w:val="0"/>
                <w:sz w:val="24"/>
                <w:lang w:eastAsia="zh-CN"/>
              </w:rPr>
            </w:pPr>
          </w:p>
        </w:tc>
        <w:tc>
          <w:tcPr>
            <w:tcW w:w="2495" w:type="dxa"/>
            <w:noWrap w:val="0"/>
            <w:vAlign w:val="top"/>
          </w:tcPr>
          <w:p>
            <w:pPr>
              <w:jc w:val="center"/>
              <w:rPr>
                <w:rFonts w:hint="eastAsia"/>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736" w:type="dxa"/>
            <w:noWrap w:val="0"/>
            <w:vAlign w:val="top"/>
          </w:tcPr>
          <w:p>
            <w:pPr>
              <w:jc w:val="center"/>
              <w:rPr>
                <w:rFonts w:hint="eastAsia"/>
                <w:b w:val="0"/>
                <w:bCs w:val="0"/>
                <w:sz w:val="24"/>
                <w:lang w:val="en-US" w:eastAsia="zh-CN"/>
              </w:rPr>
            </w:pPr>
            <w:r>
              <w:rPr>
                <w:rFonts w:hint="eastAsia"/>
                <w:b w:val="0"/>
                <w:bCs w:val="0"/>
                <w:sz w:val="24"/>
                <w:lang w:val="en-US" w:eastAsia="zh-CN"/>
              </w:rPr>
              <w:t>15</w:t>
            </w:r>
          </w:p>
        </w:tc>
        <w:tc>
          <w:tcPr>
            <w:tcW w:w="2130" w:type="dxa"/>
            <w:noWrap w:val="0"/>
            <w:vAlign w:val="top"/>
          </w:tcPr>
          <w:p>
            <w:pPr>
              <w:jc w:val="center"/>
              <w:rPr>
                <w:rFonts w:hint="eastAsia"/>
                <w:b w:val="0"/>
                <w:bCs w:val="0"/>
                <w:sz w:val="24"/>
              </w:rPr>
            </w:pPr>
          </w:p>
        </w:tc>
        <w:tc>
          <w:tcPr>
            <w:tcW w:w="2131" w:type="dxa"/>
            <w:noWrap w:val="0"/>
            <w:vAlign w:val="top"/>
          </w:tcPr>
          <w:p>
            <w:pPr>
              <w:jc w:val="center"/>
              <w:rPr>
                <w:rFonts w:hint="eastAsia"/>
                <w:b w:val="0"/>
                <w:bCs w:val="0"/>
                <w:sz w:val="24"/>
                <w:lang w:eastAsia="zh-CN"/>
              </w:rPr>
            </w:pPr>
          </w:p>
        </w:tc>
        <w:tc>
          <w:tcPr>
            <w:tcW w:w="2495" w:type="dxa"/>
            <w:noWrap w:val="0"/>
            <w:vAlign w:val="top"/>
          </w:tcPr>
          <w:p>
            <w:pPr>
              <w:jc w:val="center"/>
              <w:rPr>
                <w:rFonts w:hint="eastAsia"/>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736" w:type="dxa"/>
            <w:noWrap w:val="0"/>
            <w:vAlign w:val="top"/>
          </w:tcPr>
          <w:p>
            <w:pPr>
              <w:jc w:val="center"/>
              <w:rPr>
                <w:rFonts w:hint="eastAsia"/>
                <w:b w:val="0"/>
                <w:bCs w:val="0"/>
                <w:sz w:val="24"/>
                <w:lang w:val="en-US" w:eastAsia="zh-CN"/>
              </w:rPr>
            </w:pPr>
            <w:r>
              <w:rPr>
                <w:rFonts w:hint="eastAsia"/>
                <w:b w:val="0"/>
                <w:bCs w:val="0"/>
                <w:sz w:val="24"/>
                <w:lang w:val="en-US" w:eastAsia="zh-CN"/>
              </w:rPr>
              <w:t>16</w:t>
            </w:r>
          </w:p>
        </w:tc>
        <w:tc>
          <w:tcPr>
            <w:tcW w:w="2130" w:type="dxa"/>
            <w:noWrap w:val="0"/>
            <w:vAlign w:val="top"/>
          </w:tcPr>
          <w:p>
            <w:pPr>
              <w:jc w:val="center"/>
              <w:rPr>
                <w:rFonts w:hint="eastAsia"/>
                <w:b w:val="0"/>
                <w:bCs w:val="0"/>
                <w:sz w:val="24"/>
              </w:rPr>
            </w:pPr>
          </w:p>
        </w:tc>
        <w:tc>
          <w:tcPr>
            <w:tcW w:w="2131" w:type="dxa"/>
            <w:noWrap w:val="0"/>
            <w:vAlign w:val="top"/>
          </w:tcPr>
          <w:p>
            <w:pPr>
              <w:jc w:val="center"/>
              <w:rPr>
                <w:rFonts w:hint="eastAsia"/>
                <w:b w:val="0"/>
                <w:bCs w:val="0"/>
                <w:sz w:val="24"/>
                <w:lang w:eastAsia="zh-CN"/>
              </w:rPr>
            </w:pPr>
          </w:p>
        </w:tc>
        <w:tc>
          <w:tcPr>
            <w:tcW w:w="2495" w:type="dxa"/>
            <w:noWrap w:val="0"/>
            <w:vAlign w:val="top"/>
          </w:tcPr>
          <w:p>
            <w:pPr>
              <w:jc w:val="center"/>
              <w:rPr>
                <w:rFonts w:hint="eastAsia"/>
                <w:b w:val="0"/>
                <w:bCs w:val="0"/>
                <w:sz w:val="24"/>
              </w:rPr>
            </w:pPr>
          </w:p>
        </w:tc>
      </w:tr>
    </w:tbl>
    <w:p>
      <w:pPr>
        <w:widowControl/>
        <w:numPr>
          <w:ilvl w:val="0"/>
          <w:numId w:val="1"/>
        </w:numPr>
        <w:wordWrap w:val="0"/>
        <w:spacing w:line="360" w:lineRule="auto"/>
        <w:jc w:val="left"/>
        <w:rPr>
          <w:rFonts w:hint="eastAsia" w:cs="宋体"/>
          <w:b/>
          <w:kern w:val="0"/>
          <w:sz w:val="24"/>
          <w:lang w:eastAsia="zh-CN"/>
        </w:rPr>
      </w:pPr>
      <w:r>
        <w:rPr>
          <w:rFonts w:hint="eastAsia" w:cs="宋体"/>
          <w:b/>
          <w:kern w:val="0"/>
          <w:sz w:val="24"/>
          <w:lang w:eastAsia="zh-CN"/>
        </w:rPr>
        <w:t>报价要求</w:t>
      </w:r>
    </w:p>
    <w:p>
      <w:pPr>
        <w:numPr>
          <w:ilvl w:val="0"/>
          <w:numId w:val="3"/>
        </w:numPr>
        <w:spacing w:line="500" w:lineRule="exact"/>
        <w:ind w:left="425" w:leftChars="0" w:hanging="425" w:firstLineChars="0"/>
        <w:rPr>
          <w:rFonts w:hint="eastAsia" w:cs="宋体"/>
          <w:b/>
          <w:kern w:val="0"/>
          <w:sz w:val="24"/>
          <w:lang w:eastAsia="zh-CN"/>
        </w:rPr>
      </w:pPr>
      <w:r>
        <w:rPr>
          <w:rFonts w:hint="eastAsia" w:cs="宋体"/>
          <w:b w:val="0"/>
          <w:bCs/>
          <w:kern w:val="0"/>
          <w:sz w:val="24"/>
          <w:lang w:eastAsia="zh-CN"/>
        </w:rPr>
        <w:t>报价需提供公司维保资质文件复印件和维保人员相关证件复印件。</w:t>
      </w:r>
    </w:p>
    <w:p>
      <w:pPr>
        <w:numPr>
          <w:ilvl w:val="0"/>
          <w:numId w:val="3"/>
        </w:numPr>
        <w:spacing w:line="500" w:lineRule="exact"/>
        <w:ind w:left="425" w:leftChars="0" w:hanging="425" w:firstLineChars="0"/>
        <w:rPr>
          <w:rFonts w:hint="eastAsia" w:cs="宋体"/>
          <w:b/>
          <w:kern w:val="0"/>
          <w:sz w:val="24"/>
          <w:lang w:eastAsia="zh-CN"/>
        </w:rPr>
      </w:pPr>
      <w:r>
        <w:rPr>
          <w:rFonts w:hint="eastAsia" w:cs="宋体"/>
          <w:b w:val="0"/>
          <w:bCs/>
          <w:kern w:val="0"/>
          <w:sz w:val="24"/>
          <w:lang w:eastAsia="zh-CN"/>
        </w:rPr>
        <w:t>报价需提供公司现有维保案例。</w:t>
      </w:r>
    </w:p>
    <w:p>
      <w:pPr>
        <w:numPr>
          <w:ilvl w:val="0"/>
          <w:numId w:val="3"/>
        </w:numPr>
        <w:spacing w:line="500" w:lineRule="exact"/>
        <w:ind w:left="425" w:leftChars="0" w:hanging="425" w:firstLineChars="0"/>
        <w:rPr>
          <w:rFonts w:hint="eastAsia" w:cs="宋体"/>
          <w:b w:val="0"/>
          <w:bCs/>
          <w:kern w:val="0"/>
          <w:sz w:val="24"/>
          <w:lang w:eastAsia="zh-CN"/>
        </w:rPr>
      </w:pPr>
      <w:r>
        <w:rPr>
          <w:rFonts w:hint="eastAsia" w:cs="宋体"/>
          <w:b w:val="0"/>
          <w:bCs/>
          <w:kern w:val="0"/>
          <w:sz w:val="24"/>
          <w:lang w:eastAsia="zh-CN"/>
        </w:rPr>
        <w:t>报价为开票含税价，包括人员上门服务、安全、发票等一切费用。</w:t>
      </w:r>
    </w:p>
    <w:p>
      <w:pPr>
        <w:numPr>
          <w:ilvl w:val="0"/>
          <w:numId w:val="3"/>
        </w:numPr>
        <w:spacing w:line="500" w:lineRule="exact"/>
        <w:ind w:left="425" w:leftChars="0" w:hanging="425" w:firstLineChars="0"/>
        <w:rPr>
          <w:rFonts w:hint="eastAsia" w:cs="宋体"/>
          <w:b w:val="0"/>
          <w:bCs/>
          <w:kern w:val="0"/>
          <w:sz w:val="24"/>
          <w:lang w:eastAsia="zh-CN"/>
        </w:rPr>
      </w:pPr>
      <w:r>
        <w:rPr>
          <w:rFonts w:hint="eastAsia" w:cs="宋体"/>
          <w:b w:val="0"/>
          <w:bCs/>
          <w:kern w:val="0"/>
          <w:sz w:val="24"/>
          <w:lang w:eastAsia="zh-CN"/>
        </w:rPr>
        <w:t>报价方式：201</w:t>
      </w:r>
      <w:r>
        <w:rPr>
          <w:rFonts w:hint="eastAsia" w:cs="宋体"/>
          <w:b w:val="0"/>
          <w:bCs/>
          <w:kern w:val="0"/>
          <w:sz w:val="24"/>
          <w:lang w:val="en-US" w:eastAsia="zh-CN"/>
        </w:rPr>
        <w:t>9</w:t>
      </w:r>
      <w:r>
        <w:rPr>
          <w:rFonts w:hint="eastAsia" w:cs="宋体"/>
          <w:b w:val="0"/>
          <w:bCs/>
          <w:kern w:val="0"/>
          <w:sz w:val="24"/>
          <w:lang w:eastAsia="zh-CN"/>
        </w:rPr>
        <w:t>年</w:t>
      </w:r>
      <w:r>
        <w:rPr>
          <w:rFonts w:hint="eastAsia" w:cs="宋体"/>
          <w:b w:val="0"/>
          <w:bCs/>
          <w:kern w:val="0"/>
          <w:sz w:val="24"/>
          <w:lang w:val="en-US" w:eastAsia="zh-CN"/>
        </w:rPr>
        <w:t>2</w:t>
      </w:r>
      <w:r>
        <w:rPr>
          <w:rFonts w:hint="eastAsia" w:cs="宋体"/>
          <w:b w:val="0"/>
          <w:bCs/>
          <w:kern w:val="0"/>
          <w:sz w:val="24"/>
          <w:lang w:eastAsia="zh-CN"/>
        </w:rPr>
        <w:t>月</w:t>
      </w:r>
      <w:r>
        <w:rPr>
          <w:rFonts w:hint="eastAsia" w:cs="宋体"/>
          <w:b w:val="0"/>
          <w:bCs/>
          <w:kern w:val="0"/>
          <w:sz w:val="24"/>
          <w:lang w:val="en-US" w:eastAsia="zh-CN"/>
        </w:rPr>
        <w:t>22</w:t>
      </w:r>
      <w:r>
        <w:rPr>
          <w:rFonts w:hint="eastAsia" w:cs="宋体"/>
          <w:b w:val="0"/>
          <w:bCs/>
          <w:kern w:val="0"/>
          <w:sz w:val="24"/>
          <w:lang w:eastAsia="zh-CN"/>
        </w:rPr>
        <w:t>日上午</w:t>
      </w:r>
      <w:r>
        <w:rPr>
          <w:rFonts w:hint="eastAsia" w:cs="宋体"/>
          <w:b w:val="0"/>
          <w:bCs/>
          <w:kern w:val="0"/>
          <w:sz w:val="24"/>
          <w:lang w:val="en-US" w:eastAsia="zh-CN"/>
        </w:rPr>
        <w:t>10</w:t>
      </w:r>
      <w:r>
        <w:rPr>
          <w:rFonts w:hint="eastAsia" w:cs="宋体"/>
          <w:b w:val="0"/>
          <w:bCs/>
          <w:kern w:val="0"/>
          <w:sz w:val="24"/>
          <w:lang w:eastAsia="zh-CN"/>
        </w:rPr>
        <w:t>：</w:t>
      </w:r>
      <w:r>
        <w:rPr>
          <w:rFonts w:hint="eastAsia" w:cs="宋体"/>
          <w:b w:val="0"/>
          <w:bCs/>
          <w:kern w:val="0"/>
          <w:sz w:val="24"/>
          <w:lang w:val="en-US" w:eastAsia="zh-CN"/>
        </w:rPr>
        <w:t>0</w:t>
      </w:r>
      <w:r>
        <w:rPr>
          <w:rFonts w:hint="eastAsia" w:cs="宋体"/>
          <w:b w:val="0"/>
          <w:bCs/>
          <w:kern w:val="0"/>
          <w:sz w:val="24"/>
          <w:lang w:eastAsia="zh-CN"/>
        </w:rPr>
        <w:t>0，报价公司派代表携带密封的报价资料至厦门大学嘉庚学院资产与后勤管理部（主3#903会议室）进行现场报价，逾期不候。报价资料必须密封在档案袋里，封口处盖公章。</w:t>
      </w:r>
    </w:p>
    <w:p>
      <w:pPr>
        <w:numPr>
          <w:ilvl w:val="0"/>
          <w:numId w:val="3"/>
        </w:numPr>
        <w:spacing w:line="500" w:lineRule="exact"/>
        <w:ind w:left="425" w:leftChars="0" w:hanging="425" w:firstLineChars="0"/>
        <w:rPr>
          <w:rFonts w:hint="eastAsia" w:cs="宋体"/>
          <w:b w:val="0"/>
          <w:bCs/>
          <w:kern w:val="0"/>
          <w:sz w:val="24"/>
          <w:lang w:eastAsia="zh-CN"/>
        </w:rPr>
      </w:pPr>
      <w:r>
        <w:rPr>
          <w:rFonts w:hint="eastAsia" w:cs="宋体"/>
          <w:b w:val="0"/>
          <w:bCs/>
          <w:kern w:val="0"/>
          <w:sz w:val="24"/>
          <w:lang w:eastAsia="zh-CN"/>
        </w:rPr>
        <w:t>报价要求：报价文字需全部使用电脑打印（手写不符合要求），每页报价资料需加盖公章、报价资料的密封处需加盖公章。</w:t>
      </w:r>
    </w:p>
    <w:p>
      <w:pPr>
        <w:numPr>
          <w:ilvl w:val="0"/>
          <w:numId w:val="3"/>
        </w:numPr>
        <w:spacing w:line="500" w:lineRule="exact"/>
        <w:ind w:left="425" w:leftChars="0" w:hanging="425" w:firstLineChars="0"/>
        <w:rPr>
          <w:rFonts w:hint="eastAsia" w:cs="宋体"/>
          <w:b w:val="0"/>
          <w:bCs/>
          <w:kern w:val="0"/>
          <w:sz w:val="24"/>
          <w:lang w:eastAsia="zh-CN"/>
        </w:rPr>
      </w:pPr>
      <w:r>
        <w:rPr>
          <w:rFonts w:hint="eastAsia" w:cs="宋体"/>
          <w:b w:val="0"/>
          <w:bCs/>
          <w:kern w:val="0"/>
          <w:sz w:val="24"/>
          <w:lang w:eastAsia="zh-CN"/>
        </w:rPr>
        <w:t>我校根据售后服务、价格、公司资历、维保经验等综合指标进行综合评议，选择我校认为合适的产品。</w:t>
      </w:r>
    </w:p>
    <w:p>
      <w:pPr>
        <w:numPr>
          <w:ilvl w:val="0"/>
          <w:numId w:val="3"/>
        </w:numPr>
        <w:spacing w:line="500" w:lineRule="exact"/>
        <w:ind w:left="425" w:leftChars="0" w:hanging="425" w:firstLineChars="0"/>
        <w:rPr>
          <w:rFonts w:hint="eastAsia" w:cs="宋体"/>
          <w:b w:val="0"/>
          <w:bCs/>
          <w:kern w:val="0"/>
          <w:sz w:val="24"/>
          <w:lang w:eastAsia="zh-CN"/>
        </w:rPr>
      </w:pPr>
      <w:r>
        <w:rPr>
          <w:rFonts w:hint="eastAsia" w:cs="宋体"/>
          <w:b w:val="0"/>
          <w:bCs/>
          <w:kern w:val="0"/>
          <w:sz w:val="24"/>
          <w:lang w:eastAsia="zh-CN"/>
        </w:rPr>
        <w:t>维保费用需开具维保发票，更换的设备需开具设备发票。</w:t>
      </w:r>
    </w:p>
    <w:p>
      <w:pPr>
        <w:numPr>
          <w:ilvl w:val="0"/>
          <w:numId w:val="3"/>
        </w:numPr>
        <w:spacing w:line="500" w:lineRule="exact"/>
        <w:ind w:left="425" w:leftChars="0" w:hanging="425" w:firstLineChars="0"/>
        <w:rPr>
          <w:rFonts w:hint="eastAsia" w:cs="宋体"/>
          <w:b w:val="0"/>
          <w:bCs/>
          <w:kern w:val="0"/>
          <w:sz w:val="24"/>
          <w:lang w:eastAsia="zh-CN"/>
        </w:rPr>
      </w:pPr>
      <w:r>
        <w:rPr>
          <w:rFonts w:hint="eastAsia" w:cs="宋体"/>
          <w:b w:val="0"/>
          <w:bCs/>
          <w:kern w:val="0"/>
          <w:sz w:val="24"/>
          <w:lang w:eastAsia="zh-CN"/>
        </w:rPr>
        <w:t>报价有效期3个月。</w:t>
      </w:r>
    </w:p>
    <w:p>
      <w:pPr>
        <w:numPr>
          <w:ilvl w:val="0"/>
          <w:numId w:val="3"/>
        </w:numPr>
        <w:spacing w:line="500" w:lineRule="exact"/>
        <w:ind w:left="425" w:leftChars="0" w:hanging="425" w:firstLineChars="0"/>
        <w:rPr>
          <w:rFonts w:hint="eastAsia" w:cs="宋体"/>
          <w:b w:val="0"/>
          <w:bCs/>
          <w:kern w:val="0"/>
          <w:sz w:val="24"/>
          <w:lang w:eastAsia="zh-CN"/>
        </w:rPr>
      </w:pPr>
      <w:r>
        <w:rPr>
          <w:rFonts w:hint="eastAsia" w:cs="宋体"/>
          <w:b w:val="0"/>
          <w:bCs/>
          <w:kern w:val="0"/>
          <w:sz w:val="24"/>
          <w:lang w:eastAsia="zh-CN"/>
        </w:rPr>
        <w:t>关于此次询价的相关事宜，请来电咨询程老师、蒋老师。</w:t>
      </w:r>
    </w:p>
    <w:p>
      <w:pPr>
        <w:numPr>
          <w:ilvl w:val="0"/>
          <w:numId w:val="0"/>
        </w:numPr>
        <w:spacing w:line="500" w:lineRule="exact"/>
        <w:ind w:leftChars="0" w:firstLine="480" w:firstLineChars="200"/>
        <w:rPr>
          <w:rFonts w:ascii="宋体" w:cs="宋体"/>
          <w:kern w:val="0"/>
          <w:sz w:val="24"/>
        </w:rPr>
      </w:pPr>
      <w:r>
        <w:rPr>
          <w:rFonts w:hint="eastAsia" w:cs="宋体"/>
          <w:b w:val="0"/>
          <w:bCs/>
          <w:kern w:val="0"/>
          <w:sz w:val="24"/>
          <w:lang w:eastAsia="zh-CN"/>
        </w:rPr>
        <w:t xml:space="preserve">联系方式：0596-6288524  </w:t>
      </w:r>
    </w:p>
    <w:p>
      <w:pPr>
        <w:widowControl/>
        <w:numPr>
          <w:ilvl w:val="0"/>
          <w:numId w:val="1"/>
        </w:numPr>
        <w:wordWrap w:val="0"/>
        <w:spacing w:line="360" w:lineRule="auto"/>
        <w:jc w:val="left"/>
        <w:rPr>
          <w:rFonts w:hint="eastAsia" w:cs="宋体"/>
          <w:b/>
          <w:kern w:val="0"/>
          <w:sz w:val="24"/>
          <w:lang w:eastAsia="zh-CN"/>
        </w:rPr>
      </w:pPr>
      <w:r>
        <w:rPr>
          <w:rFonts w:hint="eastAsia" w:cs="宋体"/>
          <w:b/>
          <w:kern w:val="0"/>
          <w:sz w:val="24"/>
          <w:lang w:eastAsia="zh-CN"/>
        </w:rPr>
        <w:t>维修保养内容：</w:t>
      </w:r>
    </w:p>
    <w:p>
      <w:pPr>
        <w:numPr>
          <w:ilvl w:val="0"/>
          <w:numId w:val="4"/>
        </w:numPr>
        <w:spacing w:line="500" w:lineRule="exact"/>
        <w:ind w:left="425" w:leftChars="0" w:hanging="425" w:firstLineChars="0"/>
        <w:rPr>
          <w:rFonts w:hint="eastAsia"/>
          <w:sz w:val="24"/>
        </w:rPr>
      </w:pPr>
      <w:r>
        <w:rPr>
          <w:rFonts w:hint="eastAsia"/>
          <w:sz w:val="24"/>
        </w:rPr>
        <w:t>火灾自动报警系统（包括主控设备、现场探测器、手报按钮等触发设备、 防排烟风机 、消防广播、电话系统、防火卷帘、非消防电源切换、电梯迫降等联动系统及其执行机构，使之常年正常运行，必要时应对原有损坏、老化、绝缘差的报警线路、启停控制线路等进行更换）；</w:t>
      </w:r>
    </w:p>
    <w:p>
      <w:pPr>
        <w:numPr>
          <w:ilvl w:val="0"/>
          <w:numId w:val="4"/>
        </w:numPr>
        <w:spacing w:line="500" w:lineRule="exact"/>
        <w:ind w:left="425" w:leftChars="0" w:hanging="425" w:firstLineChars="0"/>
        <w:rPr>
          <w:rFonts w:hint="eastAsia"/>
          <w:sz w:val="24"/>
        </w:rPr>
      </w:pPr>
      <w:r>
        <w:rPr>
          <w:rFonts w:hint="eastAsia"/>
          <w:sz w:val="24"/>
        </w:rPr>
        <w:t>消火栓联动控制系统的正常运行，包括消火栓远程启停泵、水泵故障自动切换等；</w:t>
      </w:r>
    </w:p>
    <w:p>
      <w:pPr>
        <w:numPr>
          <w:ilvl w:val="0"/>
          <w:numId w:val="4"/>
        </w:numPr>
        <w:spacing w:line="500" w:lineRule="exact"/>
        <w:ind w:left="425" w:leftChars="0" w:hanging="425" w:firstLineChars="0"/>
        <w:rPr>
          <w:rFonts w:hint="eastAsia"/>
          <w:sz w:val="24"/>
        </w:rPr>
      </w:pPr>
      <w:r>
        <w:rPr>
          <w:rFonts w:hint="eastAsia"/>
          <w:sz w:val="24"/>
        </w:rPr>
        <w:t>喷淋联动控制系统的正常运行,包括喷淋末端放水远程启泵、水泵故障自动切换等</w:t>
      </w:r>
    </w:p>
    <w:p>
      <w:pPr>
        <w:numPr>
          <w:ilvl w:val="0"/>
          <w:numId w:val="4"/>
        </w:numPr>
        <w:spacing w:line="500" w:lineRule="exact"/>
        <w:ind w:left="425" w:leftChars="0" w:hanging="425" w:firstLineChars="0"/>
        <w:rPr>
          <w:rFonts w:hint="eastAsia"/>
          <w:sz w:val="24"/>
        </w:rPr>
      </w:pPr>
      <w:r>
        <w:rPr>
          <w:rFonts w:hint="eastAsia"/>
          <w:sz w:val="24"/>
        </w:rPr>
        <w:t>火灾应急照明、疏散指示等消防显示装置；</w:t>
      </w:r>
    </w:p>
    <w:p>
      <w:pPr>
        <w:numPr>
          <w:ilvl w:val="0"/>
          <w:numId w:val="4"/>
        </w:numPr>
        <w:spacing w:line="500" w:lineRule="exact"/>
        <w:ind w:left="425" w:leftChars="0" w:hanging="425" w:firstLineChars="0"/>
        <w:rPr>
          <w:rFonts w:hint="eastAsia"/>
          <w:sz w:val="24"/>
        </w:rPr>
      </w:pPr>
      <w:r>
        <w:rPr>
          <w:rFonts w:hint="eastAsia"/>
          <w:sz w:val="24"/>
        </w:rPr>
        <w:t>发电机房、配电房、网络机房自动灭火系统相关设备等；</w:t>
      </w:r>
    </w:p>
    <w:p>
      <w:pPr>
        <w:numPr>
          <w:ilvl w:val="0"/>
          <w:numId w:val="4"/>
        </w:numPr>
        <w:spacing w:line="500" w:lineRule="exact"/>
        <w:ind w:left="425" w:leftChars="0" w:hanging="425" w:firstLineChars="0"/>
        <w:rPr>
          <w:rFonts w:hint="eastAsia"/>
          <w:sz w:val="24"/>
        </w:rPr>
      </w:pPr>
      <w:r>
        <w:rPr>
          <w:rFonts w:hint="eastAsia"/>
          <w:sz w:val="24"/>
          <w:lang w:eastAsia="zh-CN"/>
        </w:rPr>
        <w:t>免费</w:t>
      </w:r>
      <w:r>
        <w:rPr>
          <w:rFonts w:hint="eastAsia"/>
          <w:sz w:val="24"/>
        </w:rPr>
        <w:t>配合甲方消防给水系统的故障排查。</w:t>
      </w:r>
    </w:p>
    <w:p>
      <w:pPr>
        <w:widowControl/>
        <w:numPr>
          <w:ilvl w:val="0"/>
          <w:numId w:val="1"/>
        </w:numPr>
        <w:wordWrap w:val="0"/>
        <w:spacing w:line="360" w:lineRule="auto"/>
        <w:jc w:val="left"/>
        <w:rPr>
          <w:rFonts w:hint="eastAsia" w:cs="宋体"/>
          <w:b/>
          <w:kern w:val="0"/>
          <w:sz w:val="24"/>
          <w:lang w:eastAsia="zh-CN"/>
        </w:rPr>
      </w:pPr>
      <w:r>
        <w:rPr>
          <w:rFonts w:hint="eastAsia" w:cs="宋体"/>
          <w:b/>
          <w:kern w:val="0"/>
          <w:sz w:val="24"/>
          <w:lang w:eastAsia="zh-CN"/>
        </w:rPr>
        <w:t>维保要求</w:t>
      </w:r>
    </w:p>
    <w:p>
      <w:pPr>
        <w:numPr>
          <w:ilvl w:val="0"/>
          <w:numId w:val="5"/>
        </w:numPr>
        <w:spacing w:line="500" w:lineRule="exact"/>
        <w:ind w:left="425" w:leftChars="0" w:hanging="425" w:firstLineChars="0"/>
        <w:rPr>
          <w:rFonts w:hint="eastAsia" w:eastAsia="宋体"/>
          <w:sz w:val="24"/>
          <w:lang w:eastAsia="zh-CN"/>
        </w:rPr>
      </w:pPr>
      <w:r>
        <w:rPr>
          <w:rFonts w:hint="eastAsia"/>
          <w:sz w:val="24"/>
          <w:lang w:eastAsia="zh-CN"/>
        </w:rPr>
        <w:t>合同期限</w:t>
      </w:r>
      <w:r>
        <w:rPr>
          <w:rFonts w:hint="eastAsia"/>
          <w:sz w:val="24"/>
        </w:rPr>
        <w:t>壹年，即从201</w:t>
      </w:r>
      <w:r>
        <w:rPr>
          <w:rFonts w:hint="eastAsia"/>
          <w:sz w:val="24"/>
          <w:lang w:val="en-US" w:eastAsia="zh-CN"/>
        </w:rPr>
        <w:t>9</w:t>
      </w:r>
      <w:r>
        <w:rPr>
          <w:rFonts w:hint="eastAsia"/>
          <w:sz w:val="24"/>
        </w:rPr>
        <w:t xml:space="preserve"> 年 03月 01日至 20</w:t>
      </w:r>
      <w:r>
        <w:rPr>
          <w:rFonts w:hint="eastAsia"/>
          <w:sz w:val="24"/>
          <w:lang w:val="en-US" w:eastAsia="zh-CN"/>
        </w:rPr>
        <w:t>20</w:t>
      </w:r>
      <w:r>
        <w:rPr>
          <w:rFonts w:hint="eastAsia"/>
          <w:sz w:val="24"/>
        </w:rPr>
        <w:t xml:space="preserve"> 年02月 28日内为维修保养期。期满前一个月双方继续协商合同的续签问题。</w:t>
      </w:r>
    </w:p>
    <w:p>
      <w:pPr>
        <w:numPr>
          <w:ilvl w:val="0"/>
          <w:numId w:val="5"/>
        </w:numPr>
        <w:spacing w:line="500" w:lineRule="exact"/>
        <w:ind w:left="425" w:leftChars="0" w:hanging="425" w:firstLineChars="0"/>
        <w:rPr>
          <w:rFonts w:hint="eastAsia" w:eastAsia="宋体"/>
          <w:sz w:val="24"/>
          <w:lang w:eastAsia="zh-CN"/>
        </w:rPr>
      </w:pPr>
      <w:r>
        <w:rPr>
          <w:rFonts w:hint="eastAsia" w:eastAsia="宋体"/>
          <w:sz w:val="24"/>
          <w:lang w:eastAsia="zh-CN"/>
        </w:rPr>
        <w:t>按照相关使用说明书及消防系统检查验收的标准和规范和《中华人民共和国公共安全行业标准建筑消防设施的维护管理》以及维保计划书的相关要求进行维保，确保消防自动报警及联动系统时刻都能保持在完好、正常运转状态。</w:t>
      </w:r>
    </w:p>
    <w:p>
      <w:pPr>
        <w:numPr>
          <w:ilvl w:val="0"/>
          <w:numId w:val="5"/>
        </w:numPr>
        <w:spacing w:line="500" w:lineRule="exact"/>
        <w:ind w:left="425" w:leftChars="0" w:hanging="425" w:firstLineChars="0"/>
        <w:rPr>
          <w:rFonts w:hint="eastAsia"/>
          <w:sz w:val="24"/>
        </w:rPr>
      </w:pPr>
      <w:r>
        <w:rPr>
          <w:rFonts w:hint="eastAsia"/>
          <w:sz w:val="24"/>
          <w:lang w:eastAsia="zh-CN"/>
        </w:rPr>
        <w:t>维保方</w:t>
      </w:r>
      <w:r>
        <w:rPr>
          <w:rFonts w:hint="eastAsia"/>
          <w:sz w:val="24"/>
        </w:rPr>
        <w:t>对本系统进行维保费包干</w:t>
      </w:r>
      <w:r>
        <w:rPr>
          <w:rFonts w:hint="eastAsia"/>
          <w:sz w:val="24"/>
          <w:lang w:eastAsia="zh-CN"/>
        </w:rPr>
        <w:t>。</w:t>
      </w:r>
      <w:r>
        <w:rPr>
          <w:rFonts w:hint="eastAsia" w:ascii="宋体" w:hAnsi="宋体"/>
          <w:sz w:val="24"/>
        </w:rPr>
        <w:t>维保费用按实际维保月份计算。</w:t>
      </w:r>
      <w:r>
        <w:rPr>
          <w:rFonts w:hint="eastAsia"/>
          <w:color w:val="000000"/>
          <w:sz w:val="24"/>
        </w:rPr>
        <w:t>由</w:t>
      </w:r>
      <w:r>
        <w:rPr>
          <w:rFonts w:hint="eastAsia"/>
          <w:color w:val="000000"/>
          <w:sz w:val="24"/>
          <w:lang w:eastAsia="zh-CN"/>
        </w:rPr>
        <w:t>维保方</w:t>
      </w:r>
      <w:r>
        <w:rPr>
          <w:rFonts w:hint="eastAsia"/>
          <w:color w:val="000000"/>
          <w:sz w:val="24"/>
        </w:rPr>
        <w:t>提供税务部门合法发票给甲方，</w:t>
      </w:r>
      <w:r>
        <w:rPr>
          <w:rFonts w:hint="eastAsia" w:ascii="宋体" w:hAnsi="宋体"/>
          <w:sz w:val="24"/>
        </w:rPr>
        <w:t>甲方分四次支付给</w:t>
      </w:r>
      <w:r>
        <w:rPr>
          <w:rFonts w:hint="eastAsia" w:ascii="宋体" w:hAnsi="宋体"/>
          <w:sz w:val="24"/>
          <w:lang w:eastAsia="zh-CN"/>
        </w:rPr>
        <w:t>维保方</w:t>
      </w:r>
      <w:r>
        <w:rPr>
          <w:rFonts w:hint="eastAsia" w:ascii="宋体" w:hAnsi="宋体"/>
          <w:sz w:val="24"/>
        </w:rPr>
        <w:t>，</w:t>
      </w:r>
      <w:r>
        <w:rPr>
          <w:rFonts w:hint="eastAsia" w:ascii="宋体" w:hAnsi="宋体"/>
          <w:spacing w:val="8"/>
          <w:sz w:val="24"/>
        </w:rPr>
        <w:t>每季度系统验收通过后凭</w:t>
      </w:r>
      <w:r>
        <w:rPr>
          <w:rFonts w:hint="eastAsia" w:ascii="宋体" w:hAnsi="宋体"/>
          <w:spacing w:val="8"/>
          <w:sz w:val="24"/>
          <w:lang w:eastAsia="zh-CN"/>
        </w:rPr>
        <w:t>维保方</w:t>
      </w:r>
      <w:r>
        <w:rPr>
          <w:rFonts w:hint="eastAsia" w:ascii="宋体" w:hAnsi="宋体"/>
          <w:spacing w:val="8"/>
          <w:sz w:val="24"/>
        </w:rPr>
        <w:t>开具的有效发票二十天支付合同总价的25%。</w:t>
      </w:r>
    </w:p>
    <w:p>
      <w:pPr>
        <w:numPr>
          <w:ilvl w:val="0"/>
          <w:numId w:val="5"/>
        </w:numPr>
        <w:spacing w:line="500" w:lineRule="exact"/>
        <w:ind w:left="425" w:leftChars="0" w:hanging="425" w:firstLineChars="0"/>
        <w:rPr>
          <w:rFonts w:hint="eastAsia" w:ascii="楷体_GB2312" w:eastAsia="楷体_GB2312"/>
          <w:spacing w:val="8"/>
          <w:sz w:val="24"/>
        </w:rPr>
      </w:pPr>
      <w:r>
        <w:rPr>
          <w:rFonts w:hint="eastAsia"/>
          <w:sz w:val="24"/>
        </w:rPr>
        <w:t>更换单价50元及以下的元器件由</w:t>
      </w:r>
      <w:r>
        <w:rPr>
          <w:rFonts w:hint="eastAsia"/>
          <w:sz w:val="24"/>
          <w:lang w:eastAsia="zh-CN"/>
        </w:rPr>
        <w:t>维保方</w:t>
      </w:r>
      <w:r>
        <w:rPr>
          <w:rFonts w:hint="eastAsia"/>
          <w:sz w:val="24"/>
        </w:rPr>
        <w:t>负责；更换单价50元以上的元器件费用由甲方承担，但对必须更换的元器件应事先报甲方确认。</w:t>
      </w:r>
      <w:r>
        <w:rPr>
          <w:rFonts w:hint="eastAsia"/>
          <w:sz w:val="24"/>
          <w:lang w:eastAsia="zh-CN"/>
        </w:rPr>
        <w:t>维保范围外的费用每季度结算一次。</w:t>
      </w:r>
    </w:p>
    <w:p>
      <w:pPr>
        <w:numPr>
          <w:ilvl w:val="0"/>
          <w:numId w:val="5"/>
        </w:numPr>
        <w:spacing w:line="500" w:lineRule="exact"/>
        <w:ind w:left="425" w:leftChars="0" w:hanging="425" w:firstLineChars="0"/>
        <w:rPr>
          <w:rFonts w:hint="eastAsia" w:ascii="宋体" w:hAnsi="宋体"/>
          <w:sz w:val="24"/>
        </w:rPr>
      </w:pPr>
      <w:r>
        <w:rPr>
          <w:rFonts w:hint="eastAsia" w:ascii="宋体" w:hAnsi="宋体"/>
          <w:color w:val="000000"/>
          <w:sz w:val="24"/>
          <w:lang w:eastAsia="zh-CN"/>
        </w:rPr>
        <w:t>维保方</w:t>
      </w:r>
      <w:r>
        <w:rPr>
          <w:rFonts w:hint="eastAsia" w:ascii="宋体" w:hAnsi="宋体"/>
          <w:color w:val="000000"/>
          <w:sz w:val="24"/>
        </w:rPr>
        <w:t>应保证自身具备法律规定的从事该项维保工作的主体资格条件，</w:t>
      </w:r>
      <w:r>
        <w:rPr>
          <w:rFonts w:hint="eastAsia"/>
          <w:color w:val="000000"/>
          <w:sz w:val="24"/>
        </w:rPr>
        <w:t>维保人员必须</w:t>
      </w:r>
      <w:r>
        <w:rPr>
          <w:rFonts w:hint="eastAsia"/>
          <w:sz w:val="24"/>
        </w:rPr>
        <w:t>是熟悉消防设施设备且持证上岗的专业人员。</w:t>
      </w:r>
      <w:r>
        <w:rPr>
          <w:rFonts w:hint="eastAsia" w:ascii="宋体" w:hAnsi="宋体"/>
          <w:spacing w:val="8"/>
          <w:sz w:val="24"/>
        </w:rPr>
        <w:t>施工中严格遵守甲方维保场地的各种规章制度，应密切配合和服从业主的监督管理，严格按相应施工规范要求进行维保，保证工程质量。</w:t>
      </w:r>
    </w:p>
    <w:p>
      <w:pPr>
        <w:numPr>
          <w:ilvl w:val="0"/>
          <w:numId w:val="5"/>
        </w:numPr>
        <w:spacing w:line="500" w:lineRule="exact"/>
        <w:ind w:left="425" w:leftChars="0" w:hanging="425" w:firstLineChars="0"/>
        <w:rPr>
          <w:rFonts w:hint="eastAsia" w:ascii="宋体" w:hAnsi="宋体"/>
          <w:color w:val="000000"/>
          <w:sz w:val="24"/>
          <w:lang w:eastAsia="zh-CN"/>
        </w:rPr>
      </w:pPr>
      <w:r>
        <w:rPr>
          <w:rFonts w:hint="eastAsia" w:ascii="宋体" w:hAnsi="宋体"/>
          <w:color w:val="000000"/>
          <w:sz w:val="24"/>
          <w:lang w:eastAsia="zh-CN"/>
        </w:rPr>
        <w:t>合同签订后三日内，维保方应免费对系统进行一次全面的检查测试和维保，并提供检测报告和维保记录。</w:t>
      </w:r>
    </w:p>
    <w:p>
      <w:pPr>
        <w:numPr>
          <w:ilvl w:val="0"/>
          <w:numId w:val="5"/>
        </w:numPr>
        <w:spacing w:line="500" w:lineRule="exact"/>
        <w:ind w:left="425" w:leftChars="0" w:hanging="425" w:firstLineChars="0"/>
        <w:rPr>
          <w:rFonts w:hint="eastAsia" w:ascii="宋体" w:hAnsi="宋体"/>
          <w:color w:val="000000"/>
          <w:sz w:val="24"/>
          <w:lang w:eastAsia="zh-CN"/>
        </w:rPr>
      </w:pPr>
      <w:r>
        <w:rPr>
          <w:rFonts w:hint="eastAsia" w:ascii="宋体" w:hAnsi="宋体"/>
          <w:color w:val="000000"/>
          <w:sz w:val="24"/>
          <w:lang w:eastAsia="zh-CN"/>
        </w:rPr>
        <w:t>维保方每月应对消防自动报警系统检查保养一次，对消防系统设备和管网检查试验一次，确保设备运行正常，</w:t>
      </w:r>
      <w:r>
        <w:rPr>
          <w:rFonts w:hint="eastAsia"/>
          <w:sz w:val="24"/>
          <w:lang w:eastAsia="zh-CN"/>
        </w:rPr>
        <w:t>每月</w:t>
      </w:r>
      <w:r>
        <w:rPr>
          <w:rFonts w:hint="eastAsia"/>
          <w:sz w:val="24"/>
          <w:lang w:val="en-US" w:eastAsia="zh-CN"/>
        </w:rPr>
        <w:t>10号前</w:t>
      </w:r>
      <w:r>
        <w:rPr>
          <w:rFonts w:hint="eastAsia"/>
          <w:sz w:val="24"/>
          <w:lang w:eastAsia="zh-CN"/>
        </w:rPr>
        <w:t>维保方</w:t>
      </w:r>
      <w:r>
        <w:rPr>
          <w:rFonts w:hint="eastAsia"/>
          <w:sz w:val="24"/>
        </w:rPr>
        <w:t>应提交</w:t>
      </w:r>
      <w:r>
        <w:rPr>
          <w:rFonts w:hint="eastAsia"/>
          <w:sz w:val="24"/>
          <w:lang w:eastAsia="zh-CN"/>
        </w:rPr>
        <w:t>上一个月的维保报告</w:t>
      </w:r>
      <w:r>
        <w:rPr>
          <w:rFonts w:hint="eastAsia" w:ascii="宋体" w:hAnsi="宋体"/>
          <w:color w:val="000000"/>
          <w:sz w:val="24"/>
          <w:lang w:eastAsia="zh-CN"/>
        </w:rPr>
        <w:t>。在对系统做试验时，甲方人员须陪同一起参加。每年度对系统做一次全面检测，并在检测后10天内提供符合消防安全要求的年度检测报告。</w:t>
      </w:r>
    </w:p>
    <w:p>
      <w:pPr>
        <w:numPr>
          <w:ilvl w:val="0"/>
          <w:numId w:val="5"/>
        </w:numPr>
        <w:spacing w:line="500" w:lineRule="exact"/>
        <w:ind w:left="425" w:leftChars="0" w:hanging="425" w:firstLineChars="0"/>
        <w:rPr>
          <w:rFonts w:hint="eastAsia" w:ascii="宋体" w:hAnsi="宋体"/>
          <w:color w:val="000000"/>
          <w:sz w:val="24"/>
          <w:lang w:eastAsia="zh-CN"/>
        </w:rPr>
      </w:pPr>
      <w:r>
        <w:rPr>
          <w:rFonts w:hint="eastAsia" w:ascii="宋体" w:hAnsi="宋体"/>
          <w:color w:val="000000"/>
          <w:sz w:val="24"/>
          <w:lang w:eastAsia="zh-CN"/>
        </w:rPr>
        <w:t>在维保期内消防系统若发生异常或故障，维修人员接到甲方通知后最迟不得超过12小时赶到现场，并在24小时内解决问题，但对于严重的系统故障，均应在3小时内赶到现场进行维修，维保方维修人员不能排除的故障，维保方负责联系设备厂家派技术人员到现场解决故障问题，其差旅费用由维保方负责。</w:t>
      </w:r>
    </w:p>
    <w:p>
      <w:pPr>
        <w:numPr>
          <w:ilvl w:val="0"/>
          <w:numId w:val="5"/>
        </w:numPr>
        <w:spacing w:line="500" w:lineRule="exact"/>
        <w:ind w:left="425" w:leftChars="0" w:hanging="425" w:firstLineChars="0"/>
        <w:rPr>
          <w:rFonts w:hint="eastAsia" w:ascii="宋体" w:hAnsi="宋体"/>
          <w:color w:val="000000"/>
          <w:sz w:val="24"/>
          <w:lang w:eastAsia="zh-CN"/>
        </w:rPr>
      </w:pPr>
      <w:r>
        <w:rPr>
          <w:rFonts w:hint="eastAsia" w:ascii="宋体" w:hAnsi="宋体"/>
          <w:color w:val="000000"/>
          <w:sz w:val="24"/>
          <w:lang w:eastAsia="zh-CN"/>
        </w:rPr>
        <w:t>每次定期检查和紧急召修完毕，都必须如实地、详细地填写维修保养记录单，并经甲方人员签名确认。如发现记录不详、不实；召修不能按时到达；故障不能及时修复或无维保方维保人员、甲方确认人员签名的，每项次扣除维保费</w:t>
      </w:r>
      <w:r>
        <w:rPr>
          <w:rFonts w:hint="eastAsia" w:ascii="宋体" w:hAnsi="宋体"/>
          <w:color w:val="000000"/>
          <w:sz w:val="24"/>
          <w:lang w:val="en-US" w:eastAsia="zh-CN"/>
        </w:rPr>
        <w:t>1000</w:t>
      </w:r>
      <w:r>
        <w:rPr>
          <w:rFonts w:hint="eastAsia" w:ascii="宋体" w:hAnsi="宋体"/>
          <w:color w:val="000000"/>
          <w:sz w:val="24"/>
          <w:lang w:eastAsia="zh-CN"/>
        </w:rPr>
        <w:t>元。</w:t>
      </w:r>
    </w:p>
    <w:p>
      <w:pPr>
        <w:numPr>
          <w:ilvl w:val="0"/>
          <w:numId w:val="5"/>
        </w:numPr>
        <w:spacing w:line="500" w:lineRule="exact"/>
        <w:ind w:left="425" w:leftChars="0" w:hanging="425" w:firstLineChars="0"/>
        <w:rPr>
          <w:rFonts w:hint="eastAsia" w:ascii="宋体" w:hAnsi="宋体"/>
          <w:color w:val="000000"/>
          <w:sz w:val="24"/>
          <w:lang w:eastAsia="zh-CN"/>
        </w:rPr>
      </w:pPr>
      <w:r>
        <w:rPr>
          <w:rFonts w:hint="eastAsia" w:ascii="宋体" w:hAnsi="宋体"/>
          <w:color w:val="000000"/>
          <w:sz w:val="24"/>
          <w:lang w:eastAsia="zh-CN"/>
        </w:rPr>
        <w:t>若维保方未按约定内容、要求履行维修保养义务时，甲方可书面要求维保方整改，如经甲方三次书面通知，仍无法满足甲方的要求，维保方应赔偿在此期间造成的一切损失（包括但不限于甲方请第三人履行维修保养所应支付的费用），并扣除当月的维保费用，甲方可解除本合同并追究维保方的相关责任。</w:t>
      </w:r>
    </w:p>
    <w:p>
      <w:pPr>
        <w:numPr>
          <w:ilvl w:val="0"/>
          <w:numId w:val="5"/>
        </w:numPr>
        <w:spacing w:line="500" w:lineRule="exact"/>
        <w:ind w:left="425" w:leftChars="0" w:hanging="425" w:firstLineChars="0"/>
        <w:rPr>
          <w:rFonts w:hint="eastAsia" w:ascii="宋体" w:hAnsi="宋体"/>
          <w:color w:val="000000"/>
          <w:sz w:val="24"/>
          <w:lang w:eastAsia="zh-CN"/>
        </w:rPr>
      </w:pPr>
      <w:r>
        <w:rPr>
          <w:rFonts w:hint="eastAsia" w:ascii="宋体" w:hAnsi="宋体"/>
          <w:color w:val="000000"/>
          <w:sz w:val="24"/>
          <w:lang w:eastAsia="zh-CN"/>
        </w:rPr>
        <w:t>维保方应重视安全管理，维修保养中维保方要采取安全防护措施，确保不出安全责任事故。若造成安全事故，均由维保方自行负责；若维保方对甲方或第三人的人身造成损害及财产损失的，维保方应承担赔偿责任。</w:t>
      </w:r>
    </w:p>
    <w:p>
      <w:pPr>
        <w:numPr>
          <w:ilvl w:val="0"/>
          <w:numId w:val="5"/>
        </w:numPr>
        <w:spacing w:line="500" w:lineRule="exact"/>
        <w:ind w:left="425" w:leftChars="0" w:hanging="425" w:firstLineChars="0"/>
        <w:rPr>
          <w:rFonts w:hint="eastAsia" w:ascii="宋体" w:hAnsi="宋体"/>
          <w:color w:val="000000"/>
          <w:sz w:val="24"/>
          <w:lang w:eastAsia="zh-CN"/>
        </w:rPr>
      </w:pPr>
      <w:r>
        <w:rPr>
          <w:rFonts w:hint="eastAsia" w:ascii="宋体" w:hAnsi="宋体"/>
          <w:color w:val="000000"/>
          <w:sz w:val="24"/>
          <w:lang w:eastAsia="zh-CN"/>
        </w:rPr>
        <w:t>维保方前来提供定期维保服务前一星期应事先通知甲方,若甲方在特殊情况下要求时间作适当调整,维保方应予配合。维保方按照甲方的要求办理好进场维保手续等，甲方人员应陪同一起参加。维保过程中如发现损坏的元器件，应先查明损坏原因，能修则修，确实不能修复的，经甲方确认后，予以更换。</w:t>
      </w:r>
    </w:p>
    <w:p>
      <w:pPr>
        <w:numPr>
          <w:ilvl w:val="0"/>
          <w:numId w:val="5"/>
        </w:numPr>
        <w:spacing w:line="500" w:lineRule="exact"/>
        <w:ind w:left="425" w:leftChars="0" w:hanging="425" w:firstLineChars="0"/>
        <w:rPr>
          <w:rFonts w:hint="eastAsia" w:ascii="宋体" w:hAnsi="宋体"/>
          <w:color w:val="000000"/>
          <w:sz w:val="24"/>
          <w:lang w:eastAsia="zh-CN"/>
        </w:rPr>
      </w:pPr>
      <w:r>
        <w:rPr>
          <w:rFonts w:hint="eastAsia" w:ascii="宋体" w:hAnsi="宋体"/>
          <w:color w:val="000000"/>
          <w:sz w:val="24"/>
          <w:lang w:eastAsia="zh-CN"/>
        </w:rPr>
        <w:t>维保方应及时清理维修更换下来的废弃物，保证现场清洁。</w:t>
      </w:r>
    </w:p>
    <w:p>
      <w:pPr>
        <w:numPr>
          <w:ilvl w:val="0"/>
          <w:numId w:val="5"/>
        </w:numPr>
        <w:spacing w:line="500" w:lineRule="exact"/>
        <w:ind w:left="425" w:leftChars="0" w:hanging="425" w:firstLineChars="0"/>
        <w:rPr>
          <w:rFonts w:hint="eastAsia" w:ascii="宋体" w:hAnsi="宋体"/>
          <w:color w:val="000000"/>
          <w:sz w:val="24"/>
          <w:lang w:eastAsia="zh-CN"/>
        </w:rPr>
      </w:pPr>
      <w:r>
        <w:rPr>
          <w:rFonts w:hint="eastAsia" w:ascii="宋体" w:hAnsi="宋体"/>
          <w:color w:val="000000"/>
          <w:sz w:val="24"/>
          <w:lang w:eastAsia="zh-CN"/>
        </w:rPr>
        <w:t>维保方应保证系统在年度消防检查时能被认定为合格系统。在维保期内，若被消防部门检查不合格，维保方应承担维保工作不到位产生的相应责任。合同期满，维保方保证将完好的系统交给甲方，如有缺损，由维保方修复或赔偿。</w:t>
      </w:r>
    </w:p>
    <w:p>
      <w:pPr>
        <w:numPr>
          <w:ilvl w:val="0"/>
          <w:numId w:val="5"/>
        </w:numPr>
        <w:spacing w:line="500" w:lineRule="exact"/>
        <w:ind w:left="425" w:leftChars="0" w:hanging="425" w:firstLineChars="0"/>
        <w:rPr>
          <w:rFonts w:hint="eastAsia" w:ascii="宋体" w:hAnsi="宋体"/>
          <w:color w:val="000000"/>
          <w:sz w:val="24"/>
          <w:lang w:eastAsia="zh-CN"/>
        </w:rPr>
      </w:pPr>
      <w:r>
        <w:rPr>
          <w:rFonts w:hint="eastAsia" w:ascii="宋体" w:hAnsi="宋体"/>
          <w:color w:val="000000"/>
          <w:sz w:val="24"/>
          <w:lang w:eastAsia="zh-CN"/>
        </w:rPr>
        <w:t>维保实行签到制度。每次维保方上门维保均需对系统运行情况和故障排查情况进行登记，并由甲方负责人员签字确认。</w:t>
      </w:r>
    </w:p>
    <w:p>
      <w:pPr>
        <w:numPr>
          <w:ilvl w:val="0"/>
          <w:numId w:val="5"/>
        </w:numPr>
        <w:spacing w:line="500" w:lineRule="exact"/>
        <w:ind w:left="425" w:leftChars="0" w:hanging="425" w:firstLineChars="0"/>
        <w:rPr>
          <w:rFonts w:hint="eastAsia" w:ascii="宋体" w:hAnsi="宋体"/>
          <w:color w:val="000000"/>
          <w:sz w:val="24"/>
          <w:lang w:eastAsia="zh-CN"/>
        </w:rPr>
      </w:pPr>
      <w:r>
        <w:rPr>
          <w:rFonts w:hint="eastAsia" w:ascii="宋体" w:hAnsi="宋体"/>
          <w:color w:val="000000"/>
          <w:sz w:val="24"/>
          <w:lang w:eastAsia="zh-CN"/>
        </w:rPr>
        <w:t>在维保过程中我校提供维修上的方便（例如场所开放、资料提供、器件的使用及必要时的供电、供水等）；</w:t>
      </w:r>
    </w:p>
    <w:p>
      <w:pPr>
        <w:numPr>
          <w:ilvl w:val="0"/>
          <w:numId w:val="5"/>
        </w:numPr>
        <w:spacing w:line="500" w:lineRule="exact"/>
        <w:ind w:left="425" w:leftChars="0" w:hanging="425" w:firstLineChars="0"/>
        <w:rPr>
          <w:rFonts w:hint="eastAsia" w:ascii="宋体" w:hAnsi="宋体"/>
          <w:color w:val="000000"/>
          <w:sz w:val="24"/>
          <w:lang w:eastAsia="zh-CN"/>
        </w:rPr>
      </w:pPr>
      <w:r>
        <w:rPr>
          <w:rFonts w:hint="eastAsia" w:ascii="宋体" w:hAnsi="宋体"/>
          <w:color w:val="000000"/>
          <w:sz w:val="24"/>
          <w:lang w:eastAsia="zh-CN"/>
        </w:rPr>
        <w:t>我校安排操作人员应承担日常的管理、巡视检查工作，并及时将发现的问题反馈给中标单位。</w:t>
      </w:r>
    </w:p>
    <w:p>
      <w:pPr>
        <w:numPr>
          <w:ilvl w:val="0"/>
          <w:numId w:val="5"/>
        </w:numPr>
        <w:spacing w:line="500" w:lineRule="exact"/>
        <w:ind w:left="425" w:leftChars="0" w:hanging="425" w:firstLineChars="0"/>
        <w:rPr>
          <w:rFonts w:hint="eastAsia" w:ascii="宋体" w:hAnsi="宋体"/>
          <w:color w:val="000000"/>
          <w:sz w:val="24"/>
          <w:lang w:eastAsia="zh-CN"/>
        </w:rPr>
      </w:pPr>
      <w:r>
        <w:rPr>
          <w:rFonts w:hint="eastAsia" w:ascii="宋体" w:hAnsi="宋体"/>
          <w:color w:val="000000"/>
          <w:sz w:val="24"/>
          <w:lang w:eastAsia="zh-CN"/>
        </w:rPr>
        <w:t>若维保方有关服务不到位，甲方通知维保方定期整改，经整改还是未能达到合同要求，甲方有权提前终止本合同，维保方不得异议。</w:t>
      </w:r>
    </w:p>
    <w:p>
      <w:pPr>
        <w:numPr>
          <w:ilvl w:val="0"/>
          <w:numId w:val="5"/>
        </w:numPr>
        <w:spacing w:line="500" w:lineRule="exact"/>
        <w:ind w:left="425" w:leftChars="0" w:hanging="425" w:firstLineChars="0"/>
        <w:rPr>
          <w:rFonts w:hint="eastAsia" w:ascii="宋体" w:hAnsi="宋体"/>
          <w:color w:val="000000"/>
          <w:sz w:val="24"/>
          <w:lang w:eastAsia="zh-CN"/>
        </w:rPr>
      </w:pPr>
      <w:r>
        <w:rPr>
          <w:rFonts w:hint="eastAsia" w:ascii="宋体" w:hAnsi="宋体"/>
          <w:color w:val="000000"/>
          <w:sz w:val="24"/>
          <w:lang w:eastAsia="zh-CN"/>
        </w:rPr>
        <w:t>若公安消防机构指定要求委托专业检测机构出具检测报告，则检测费由甲方承担。</w:t>
      </w:r>
    </w:p>
    <w:p>
      <w:pPr>
        <w:numPr>
          <w:ilvl w:val="0"/>
          <w:numId w:val="5"/>
        </w:numPr>
        <w:spacing w:line="500" w:lineRule="exact"/>
        <w:ind w:left="425" w:leftChars="0" w:hanging="425" w:firstLineChars="0"/>
        <w:rPr>
          <w:rFonts w:hint="eastAsia" w:ascii="宋体" w:hAnsi="宋体"/>
          <w:color w:val="000000"/>
          <w:sz w:val="24"/>
          <w:lang w:eastAsia="zh-CN"/>
        </w:rPr>
      </w:pPr>
      <w:r>
        <w:rPr>
          <w:rFonts w:hint="eastAsia" w:ascii="宋体" w:hAnsi="宋体"/>
          <w:color w:val="000000"/>
          <w:sz w:val="24"/>
          <w:lang w:eastAsia="zh-CN"/>
        </w:rPr>
        <w:t>重大节日包括“五一”，“十一”，“校庆”，“九八”洽谈会，春节、春假及上级布置的消防安全大检查。应保证系统正常运行。迎新和学校重大活动需派维护人员全天现场跟进保障。</w:t>
      </w:r>
    </w:p>
    <w:p>
      <w:pPr>
        <w:numPr>
          <w:ilvl w:val="0"/>
          <w:numId w:val="5"/>
        </w:numPr>
        <w:spacing w:line="500" w:lineRule="exact"/>
        <w:ind w:left="425" w:leftChars="0" w:hanging="425" w:firstLineChars="0"/>
        <w:rPr>
          <w:rFonts w:hint="eastAsia" w:ascii="宋体" w:hAnsi="宋体"/>
          <w:color w:val="000000"/>
          <w:sz w:val="24"/>
          <w:lang w:eastAsia="zh-CN"/>
        </w:rPr>
      </w:pPr>
      <w:r>
        <w:rPr>
          <w:rFonts w:hint="eastAsia" w:ascii="宋体" w:hAnsi="宋体"/>
          <w:color w:val="000000"/>
          <w:sz w:val="24"/>
          <w:lang w:eastAsia="zh-CN"/>
        </w:rPr>
        <w:t>维护保养细则：</w:t>
      </w:r>
    </w:p>
    <w:p>
      <w:pPr>
        <w:keepNext w:val="0"/>
        <w:keepLines w:val="0"/>
        <w:pageBreakBefore w:val="0"/>
        <w:numPr>
          <w:ilvl w:val="0"/>
          <w:numId w:val="6"/>
        </w:numPr>
        <w:kinsoku/>
        <w:overflowPunct/>
        <w:topLinePunct w:val="0"/>
        <w:autoSpaceDE/>
        <w:autoSpaceDN/>
        <w:bidi w:val="0"/>
        <w:adjustRightInd/>
        <w:snapToGrid/>
        <w:spacing w:beforeAutospacing="0" w:afterAutospacing="0" w:line="500" w:lineRule="exact"/>
        <w:ind w:left="959"/>
        <w:textAlignment w:val="auto"/>
        <w:rPr>
          <w:rFonts w:hint="eastAsia" w:ascii="楷体_GB2312" w:hAnsi="宋体" w:eastAsia="楷体_GB2312" w:cs="宋体"/>
          <w:b/>
          <w:color w:val="333333"/>
          <w:kern w:val="0"/>
          <w:sz w:val="24"/>
        </w:rPr>
      </w:pPr>
      <w:r>
        <w:rPr>
          <w:rFonts w:hint="eastAsia" w:ascii="楷体_GB2312" w:hAnsi="宋体" w:eastAsia="楷体_GB2312" w:cs="宋体"/>
          <w:b/>
          <w:color w:val="333333"/>
          <w:kern w:val="0"/>
          <w:sz w:val="24"/>
        </w:rPr>
        <w:t>火灾自动报警系统</w:t>
      </w:r>
    </w:p>
    <w:p>
      <w:pPr>
        <w:keepNext w:val="0"/>
        <w:keepLines w:val="0"/>
        <w:pageBreakBefore w:val="0"/>
        <w:widowControl/>
        <w:numPr>
          <w:ilvl w:val="0"/>
          <w:numId w:val="7"/>
        </w:numPr>
        <w:tabs>
          <w:tab w:val="left" w:pos="851"/>
          <w:tab w:val="clear" w:pos="1413"/>
        </w:tabs>
        <w:kinsoku/>
        <w:wordWrap w:val="0"/>
        <w:overflowPunct/>
        <w:topLinePunct w:val="0"/>
        <w:autoSpaceDE/>
        <w:autoSpaceDN/>
        <w:bidi w:val="0"/>
        <w:adjustRightInd/>
        <w:snapToGrid/>
        <w:spacing w:before="100" w:beforeAutospacing="0" w:after="100" w:afterAutospacing="0" w:line="500" w:lineRule="exact"/>
        <w:ind w:left="565" w:leftChars="269" w:firstLine="0"/>
        <w:textAlignment w:val="auto"/>
        <w:rPr>
          <w:rFonts w:hint="eastAsia" w:ascii="宋体" w:hAnsi="宋体" w:cs="宋体"/>
          <w:color w:val="333333"/>
          <w:kern w:val="0"/>
          <w:sz w:val="24"/>
        </w:rPr>
      </w:pPr>
      <w:r>
        <w:rPr>
          <w:rFonts w:hint="eastAsia" w:ascii="宋体" w:hAnsi="宋体" w:cs="宋体"/>
          <w:color w:val="333333"/>
          <w:kern w:val="0"/>
          <w:sz w:val="24"/>
        </w:rPr>
        <w:t>控制器外观铭牌及标志明显，清晰 </w:t>
      </w:r>
    </w:p>
    <w:p>
      <w:pPr>
        <w:keepNext w:val="0"/>
        <w:keepLines w:val="0"/>
        <w:pageBreakBefore w:val="0"/>
        <w:widowControl/>
        <w:numPr>
          <w:ilvl w:val="0"/>
          <w:numId w:val="7"/>
        </w:numPr>
        <w:tabs>
          <w:tab w:val="left" w:pos="851"/>
          <w:tab w:val="clear" w:pos="1413"/>
        </w:tabs>
        <w:kinsoku/>
        <w:wordWrap w:val="0"/>
        <w:overflowPunct/>
        <w:topLinePunct w:val="0"/>
        <w:autoSpaceDE/>
        <w:autoSpaceDN/>
        <w:bidi w:val="0"/>
        <w:adjustRightInd/>
        <w:snapToGrid/>
        <w:spacing w:before="100" w:beforeAutospacing="0" w:after="100" w:afterAutospacing="0" w:line="500" w:lineRule="exact"/>
        <w:ind w:left="565" w:leftChars="269" w:firstLine="0"/>
        <w:textAlignment w:val="auto"/>
        <w:rPr>
          <w:rFonts w:hint="eastAsia" w:ascii="宋体" w:hAnsi="宋体" w:cs="宋体"/>
          <w:color w:val="333333"/>
          <w:kern w:val="0"/>
          <w:sz w:val="24"/>
        </w:rPr>
      </w:pPr>
      <w:r>
        <w:rPr>
          <w:rFonts w:hint="eastAsia" w:ascii="宋体" w:hAnsi="宋体" w:cs="宋体"/>
          <w:color w:val="333333"/>
          <w:kern w:val="0"/>
          <w:sz w:val="24"/>
        </w:rPr>
        <w:t>控制器接地有工作接地线及RE线接地保护</w:t>
      </w:r>
    </w:p>
    <w:p>
      <w:pPr>
        <w:keepNext w:val="0"/>
        <w:keepLines w:val="0"/>
        <w:pageBreakBefore w:val="0"/>
        <w:widowControl/>
        <w:numPr>
          <w:ilvl w:val="0"/>
          <w:numId w:val="7"/>
        </w:numPr>
        <w:tabs>
          <w:tab w:val="left" w:pos="851"/>
          <w:tab w:val="clear" w:pos="1413"/>
        </w:tabs>
        <w:kinsoku/>
        <w:wordWrap w:val="0"/>
        <w:overflowPunct/>
        <w:topLinePunct w:val="0"/>
        <w:autoSpaceDE/>
        <w:autoSpaceDN/>
        <w:bidi w:val="0"/>
        <w:adjustRightInd/>
        <w:snapToGrid/>
        <w:spacing w:before="100" w:beforeAutospacing="0" w:after="100" w:afterAutospacing="0" w:line="500" w:lineRule="exact"/>
        <w:ind w:left="565" w:leftChars="269" w:firstLine="0"/>
        <w:textAlignment w:val="auto"/>
        <w:rPr>
          <w:rFonts w:hint="eastAsia" w:ascii="宋体" w:hAnsi="宋体" w:cs="宋体"/>
          <w:color w:val="333333"/>
          <w:kern w:val="0"/>
          <w:sz w:val="24"/>
        </w:rPr>
      </w:pPr>
      <w:r>
        <w:rPr>
          <w:rFonts w:hint="eastAsia" w:ascii="宋体" w:hAnsi="宋体" w:cs="宋体"/>
          <w:color w:val="333333"/>
          <w:kern w:val="0"/>
          <w:sz w:val="24"/>
        </w:rPr>
        <w:t>控制器接地标志明显，持久 </w:t>
      </w:r>
    </w:p>
    <w:p>
      <w:pPr>
        <w:keepNext w:val="0"/>
        <w:keepLines w:val="0"/>
        <w:pageBreakBefore w:val="0"/>
        <w:widowControl/>
        <w:numPr>
          <w:ilvl w:val="0"/>
          <w:numId w:val="7"/>
        </w:numPr>
        <w:tabs>
          <w:tab w:val="left" w:pos="851"/>
          <w:tab w:val="clear" w:pos="1413"/>
        </w:tabs>
        <w:kinsoku/>
        <w:wordWrap w:val="0"/>
        <w:overflowPunct/>
        <w:topLinePunct w:val="0"/>
        <w:autoSpaceDE/>
        <w:autoSpaceDN/>
        <w:bidi w:val="0"/>
        <w:adjustRightInd/>
        <w:snapToGrid/>
        <w:spacing w:before="100" w:beforeAutospacing="0" w:after="100" w:afterAutospacing="0" w:line="500" w:lineRule="exact"/>
        <w:ind w:left="565" w:leftChars="269" w:firstLine="0"/>
        <w:textAlignment w:val="auto"/>
        <w:rPr>
          <w:rFonts w:hint="eastAsia" w:ascii="宋体" w:hAnsi="宋体" w:cs="宋体"/>
          <w:color w:val="333333"/>
          <w:kern w:val="0"/>
          <w:sz w:val="24"/>
        </w:rPr>
      </w:pPr>
      <w:r>
        <w:rPr>
          <w:rFonts w:hint="eastAsia" w:ascii="宋体" w:hAnsi="宋体" w:cs="宋体"/>
          <w:color w:val="333333"/>
          <w:kern w:val="0"/>
          <w:sz w:val="24"/>
        </w:rPr>
        <w:t>控制器电源应是消防专用电源、专用蓄电池供电；直连消防电源，严禁插头，每月进行一次冲放电试验和一次主备电自动切换试验</w:t>
      </w:r>
    </w:p>
    <w:p>
      <w:pPr>
        <w:keepNext w:val="0"/>
        <w:keepLines w:val="0"/>
        <w:pageBreakBefore w:val="0"/>
        <w:widowControl/>
        <w:numPr>
          <w:ilvl w:val="0"/>
          <w:numId w:val="7"/>
        </w:numPr>
        <w:tabs>
          <w:tab w:val="left" w:pos="851"/>
          <w:tab w:val="clear" w:pos="1413"/>
        </w:tabs>
        <w:kinsoku/>
        <w:wordWrap w:val="0"/>
        <w:overflowPunct/>
        <w:topLinePunct w:val="0"/>
        <w:autoSpaceDE/>
        <w:autoSpaceDN/>
        <w:bidi w:val="0"/>
        <w:adjustRightInd/>
        <w:snapToGrid/>
        <w:spacing w:before="100" w:beforeAutospacing="0" w:after="100" w:afterAutospacing="0" w:line="500" w:lineRule="exact"/>
        <w:ind w:left="565" w:leftChars="269" w:firstLine="0"/>
        <w:textAlignment w:val="auto"/>
        <w:rPr>
          <w:rFonts w:hint="eastAsia" w:ascii="宋体" w:hAnsi="宋体" w:cs="宋体"/>
          <w:color w:val="333333"/>
          <w:kern w:val="0"/>
          <w:sz w:val="24"/>
        </w:rPr>
      </w:pPr>
      <w:r>
        <w:rPr>
          <w:rFonts w:hint="eastAsia" w:ascii="宋体" w:hAnsi="宋体" w:cs="宋体"/>
          <w:color w:val="333333"/>
          <w:kern w:val="0"/>
          <w:sz w:val="24"/>
        </w:rPr>
        <w:t>报警音响 清洗洪亮 </w:t>
      </w:r>
    </w:p>
    <w:p>
      <w:pPr>
        <w:keepNext w:val="0"/>
        <w:keepLines w:val="0"/>
        <w:pageBreakBefore w:val="0"/>
        <w:widowControl/>
        <w:numPr>
          <w:ilvl w:val="0"/>
          <w:numId w:val="7"/>
        </w:numPr>
        <w:tabs>
          <w:tab w:val="left" w:pos="851"/>
          <w:tab w:val="clear" w:pos="1413"/>
        </w:tabs>
        <w:kinsoku/>
        <w:wordWrap w:val="0"/>
        <w:overflowPunct/>
        <w:topLinePunct w:val="0"/>
        <w:autoSpaceDE/>
        <w:autoSpaceDN/>
        <w:bidi w:val="0"/>
        <w:adjustRightInd/>
        <w:snapToGrid/>
        <w:spacing w:before="100" w:beforeAutospacing="0" w:after="100" w:afterAutospacing="0" w:line="500" w:lineRule="exact"/>
        <w:ind w:left="565" w:leftChars="269" w:firstLine="0"/>
        <w:textAlignment w:val="auto"/>
        <w:rPr>
          <w:rFonts w:hint="eastAsia" w:ascii="宋体" w:hAnsi="宋体" w:cs="宋体"/>
          <w:color w:val="333333"/>
          <w:kern w:val="0"/>
          <w:sz w:val="24"/>
        </w:rPr>
      </w:pPr>
      <w:r>
        <w:rPr>
          <w:rFonts w:hint="eastAsia" w:ascii="宋体" w:hAnsi="宋体" w:cs="宋体"/>
          <w:color w:val="333333"/>
          <w:kern w:val="0"/>
          <w:sz w:val="24"/>
        </w:rPr>
        <w:t>控制器基本功能 </w:t>
      </w:r>
    </w:p>
    <w:p>
      <w:pPr>
        <w:keepNext w:val="0"/>
        <w:keepLines w:val="0"/>
        <w:pageBreakBefore w:val="0"/>
        <w:widowControl/>
        <w:numPr>
          <w:ilvl w:val="1"/>
          <w:numId w:val="7"/>
        </w:numPr>
        <w:kinsoku/>
        <w:wordWrap w:val="0"/>
        <w:overflowPunct/>
        <w:topLinePunct w:val="0"/>
        <w:autoSpaceDE/>
        <w:autoSpaceDN/>
        <w:bidi w:val="0"/>
        <w:adjustRightInd/>
        <w:snapToGrid/>
        <w:spacing w:before="100" w:beforeAutospacing="0" w:after="100" w:afterAutospacing="0" w:line="500" w:lineRule="exact"/>
        <w:ind w:firstLine="163"/>
        <w:textAlignment w:val="auto"/>
        <w:rPr>
          <w:rFonts w:hint="eastAsia" w:ascii="宋体" w:hAnsi="宋体" w:cs="宋体"/>
          <w:color w:val="333333"/>
          <w:kern w:val="0"/>
          <w:sz w:val="24"/>
        </w:rPr>
      </w:pPr>
      <w:r>
        <w:rPr>
          <w:rFonts w:hint="eastAsia" w:ascii="宋体" w:hAnsi="宋体" w:cs="宋体"/>
          <w:color w:val="333333"/>
          <w:kern w:val="0"/>
          <w:sz w:val="24"/>
        </w:rPr>
        <w:t>报警功能 接到火灾信号，发出声光报警</w:t>
      </w:r>
    </w:p>
    <w:p>
      <w:pPr>
        <w:keepNext w:val="0"/>
        <w:keepLines w:val="0"/>
        <w:pageBreakBefore w:val="0"/>
        <w:widowControl/>
        <w:numPr>
          <w:ilvl w:val="1"/>
          <w:numId w:val="7"/>
        </w:numPr>
        <w:tabs>
          <w:tab w:val="left" w:pos="1080"/>
        </w:tabs>
        <w:kinsoku/>
        <w:wordWrap w:val="0"/>
        <w:overflowPunct/>
        <w:topLinePunct w:val="0"/>
        <w:autoSpaceDE/>
        <w:autoSpaceDN/>
        <w:bidi w:val="0"/>
        <w:adjustRightInd/>
        <w:snapToGrid/>
        <w:spacing w:before="100" w:beforeAutospacing="0" w:after="100" w:afterAutospacing="0" w:line="500" w:lineRule="exact"/>
        <w:ind w:left="1080" w:firstLine="153" w:firstLineChars="64"/>
        <w:textAlignment w:val="auto"/>
        <w:rPr>
          <w:rFonts w:hint="eastAsia" w:ascii="宋体" w:hAnsi="宋体" w:cs="宋体"/>
          <w:color w:val="333333"/>
          <w:kern w:val="0"/>
          <w:sz w:val="24"/>
        </w:rPr>
      </w:pPr>
      <w:r>
        <w:rPr>
          <w:rFonts w:hint="eastAsia" w:ascii="宋体" w:hAnsi="宋体" w:cs="宋体"/>
          <w:color w:val="333333"/>
          <w:kern w:val="0"/>
          <w:sz w:val="24"/>
        </w:rPr>
        <w:t>二次报警 手动复位后，再接信号再报警</w:t>
      </w:r>
    </w:p>
    <w:p>
      <w:pPr>
        <w:keepNext w:val="0"/>
        <w:keepLines w:val="0"/>
        <w:pageBreakBefore w:val="0"/>
        <w:widowControl/>
        <w:numPr>
          <w:ilvl w:val="1"/>
          <w:numId w:val="7"/>
        </w:numPr>
        <w:tabs>
          <w:tab w:val="left" w:pos="1080"/>
        </w:tabs>
        <w:kinsoku/>
        <w:wordWrap w:val="0"/>
        <w:overflowPunct/>
        <w:topLinePunct w:val="0"/>
        <w:autoSpaceDE/>
        <w:autoSpaceDN/>
        <w:bidi w:val="0"/>
        <w:adjustRightInd/>
        <w:snapToGrid/>
        <w:spacing w:before="100" w:beforeAutospacing="0" w:after="100" w:afterAutospacing="0" w:line="500" w:lineRule="exact"/>
        <w:ind w:left="1080" w:firstLine="153" w:firstLineChars="64"/>
        <w:textAlignment w:val="auto"/>
        <w:rPr>
          <w:rFonts w:hint="eastAsia" w:ascii="宋体" w:hAnsi="宋体" w:cs="宋体"/>
          <w:color w:val="333333"/>
          <w:kern w:val="0"/>
          <w:sz w:val="24"/>
        </w:rPr>
      </w:pPr>
      <w:r>
        <w:rPr>
          <w:rFonts w:hint="eastAsia" w:ascii="宋体" w:hAnsi="宋体" w:cs="宋体"/>
          <w:color w:val="333333"/>
          <w:kern w:val="0"/>
          <w:sz w:val="24"/>
        </w:rPr>
        <w:t>故障报警 100秒内，发出声、光故障信号 </w:t>
      </w:r>
    </w:p>
    <w:p>
      <w:pPr>
        <w:keepNext w:val="0"/>
        <w:keepLines w:val="0"/>
        <w:pageBreakBefore w:val="0"/>
        <w:widowControl/>
        <w:numPr>
          <w:ilvl w:val="1"/>
          <w:numId w:val="7"/>
        </w:numPr>
        <w:tabs>
          <w:tab w:val="left" w:pos="1080"/>
        </w:tabs>
        <w:kinsoku/>
        <w:wordWrap w:val="0"/>
        <w:overflowPunct/>
        <w:topLinePunct w:val="0"/>
        <w:autoSpaceDE/>
        <w:autoSpaceDN/>
        <w:bidi w:val="0"/>
        <w:adjustRightInd/>
        <w:snapToGrid/>
        <w:spacing w:before="100" w:beforeAutospacing="0" w:after="100" w:afterAutospacing="0" w:line="500" w:lineRule="exact"/>
        <w:ind w:left="1080" w:firstLine="153" w:firstLineChars="64"/>
        <w:textAlignment w:val="auto"/>
        <w:rPr>
          <w:rFonts w:hint="eastAsia" w:ascii="宋体" w:hAnsi="宋体" w:cs="宋体"/>
          <w:color w:val="333333"/>
          <w:kern w:val="0"/>
          <w:sz w:val="24"/>
        </w:rPr>
      </w:pPr>
      <w:r>
        <w:rPr>
          <w:rFonts w:hint="eastAsia" w:ascii="宋体" w:hAnsi="宋体" w:cs="宋体"/>
          <w:color w:val="333333"/>
          <w:kern w:val="0"/>
          <w:sz w:val="24"/>
        </w:rPr>
        <w:t>自检功能 可自检 </w:t>
      </w:r>
    </w:p>
    <w:p>
      <w:pPr>
        <w:keepNext w:val="0"/>
        <w:keepLines w:val="0"/>
        <w:pageBreakBefore w:val="0"/>
        <w:widowControl/>
        <w:numPr>
          <w:ilvl w:val="1"/>
          <w:numId w:val="7"/>
        </w:numPr>
        <w:tabs>
          <w:tab w:val="left" w:pos="1080"/>
        </w:tabs>
        <w:kinsoku/>
        <w:wordWrap w:val="0"/>
        <w:overflowPunct/>
        <w:topLinePunct w:val="0"/>
        <w:autoSpaceDE/>
        <w:autoSpaceDN/>
        <w:bidi w:val="0"/>
        <w:adjustRightInd/>
        <w:snapToGrid/>
        <w:spacing w:before="100" w:beforeAutospacing="0" w:after="100" w:afterAutospacing="0" w:line="500" w:lineRule="exact"/>
        <w:ind w:left="1080" w:firstLine="153" w:firstLineChars="64"/>
        <w:textAlignment w:val="auto"/>
        <w:rPr>
          <w:rFonts w:hint="eastAsia" w:ascii="宋体" w:hAnsi="宋体" w:cs="宋体"/>
          <w:color w:val="333333"/>
          <w:kern w:val="0"/>
          <w:sz w:val="24"/>
        </w:rPr>
      </w:pPr>
      <w:r>
        <w:rPr>
          <w:rFonts w:hint="eastAsia" w:ascii="宋体" w:hAnsi="宋体" w:cs="宋体"/>
          <w:color w:val="333333"/>
          <w:kern w:val="0"/>
          <w:sz w:val="24"/>
        </w:rPr>
        <w:t>火灾优先功能 与故障同时报警时，火警优先 </w:t>
      </w:r>
    </w:p>
    <w:p>
      <w:pPr>
        <w:keepNext w:val="0"/>
        <w:keepLines w:val="0"/>
        <w:pageBreakBefore w:val="0"/>
        <w:widowControl/>
        <w:numPr>
          <w:ilvl w:val="1"/>
          <w:numId w:val="7"/>
        </w:numPr>
        <w:tabs>
          <w:tab w:val="left" w:pos="1080"/>
        </w:tabs>
        <w:kinsoku/>
        <w:wordWrap w:val="0"/>
        <w:overflowPunct/>
        <w:topLinePunct w:val="0"/>
        <w:autoSpaceDE/>
        <w:autoSpaceDN/>
        <w:bidi w:val="0"/>
        <w:adjustRightInd/>
        <w:snapToGrid/>
        <w:spacing w:before="100" w:beforeAutospacing="0" w:after="100" w:afterAutospacing="0" w:line="500" w:lineRule="exact"/>
        <w:ind w:left="1080" w:firstLine="153" w:firstLineChars="64"/>
        <w:textAlignment w:val="auto"/>
        <w:rPr>
          <w:rFonts w:hint="eastAsia" w:ascii="宋体" w:hAnsi="宋体" w:cs="宋体"/>
          <w:color w:val="333333"/>
          <w:kern w:val="0"/>
          <w:sz w:val="24"/>
        </w:rPr>
      </w:pPr>
      <w:r>
        <w:rPr>
          <w:rFonts w:hint="eastAsia" w:ascii="宋体" w:hAnsi="宋体" w:cs="宋体"/>
          <w:color w:val="333333"/>
          <w:kern w:val="0"/>
          <w:sz w:val="24"/>
        </w:rPr>
        <w:t>记忆功能 显示或打印火警时间 </w:t>
      </w:r>
    </w:p>
    <w:p>
      <w:pPr>
        <w:keepNext w:val="0"/>
        <w:keepLines w:val="0"/>
        <w:pageBreakBefore w:val="0"/>
        <w:widowControl/>
        <w:numPr>
          <w:ilvl w:val="1"/>
          <w:numId w:val="7"/>
        </w:numPr>
        <w:tabs>
          <w:tab w:val="left" w:pos="1080"/>
        </w:tabs>
        <w:kinsoku/>
        <w:wordWrap w:val="0"/>
        <w:overflowPunct/>
        <w:topLinePunct w:val="0"/>
        <w:autoSpaceDE/>
        <w:autoSpaceDN/>
        <w:bidi w:val="0"/>
        <w:adjustRightInd/>
        <w:snapToGrid/>
        <w:spacing w:before="100" w:beforeAutospacing="0" w:after="100" w:afterAutospacing="0" w:line="500" w:lineRule="exact"/>
        <w:ind w:left="1080" w:firstLine="153" w:firstLineChars="64"/>
        <w:textAlignment w:val="auto"/>
        <w:rPr>
          <w:rFonts w:hint="eastAsia" w:ascii="宋体" w:hAnsi="宋体" w:cs="宋体"/>
          <w:color w:val="333333"/>
          <w:kern w:val="0"/>
          <w:sz w:val="24"/>
        </w:rPr>
      </w:pPr>
      <w:r>
        <w:rPr>
          <w:rFonts w:hint="eastAsia" w:ascii="宋体" w:hAnsi="宋体" w:cs="宋体"/>
          <w:color w:val="333333"/>
          <w:kern w:val="0"/>
          <w:sz w:val="24"/>
        </w:rPr>
        <w:t>消音、复位功能 火警状态时可手动消除信号并复位 </w:t>
      </w:r>
    </w:p>
    <w:p>
      <w:pPr>
        <w:keepNext w:val="0"/>
        <w:keepLines w:val="0"/>
        <w:pageBreakBefore w:val="0"/>
        <w:widowControl/>
        <w:numPr>
          <w:ilvl w:val="0"/>
          <w:numId w:val="7"/>
        </w:numPr>
        <w:tabs>
          <w:tab w:val="left" w:pos="851"/>
          <w:tab w:val="clear" w:pos="1413"/>
        </w:tabs>
        <w:kinsoku/>
        <w:wordWrap w:val="0"/>
        <w:overflowPunct/>
        <w:topLinePunct w:val="0"/>
        <w:autoSpaceDE/>
        <w:autoSpaceDN/>
        <w:bidi w:val="0"/>
        <w:adjustRightInd/>
        <w:snapToGrid/>
        <w:spacing w:before="100" w:beforeAutospacing="0" w:after="100" w:afterAutospacing="0" w:line="500" w:lineRule="exact"/>
        <w:ind w:left="565" w:leftChars="269" w:firstLine="0"/>
        <w:textAlignment w:val="auto"/>
        <w:rPr>
          <w:rFonts w:hint="eastAsia" w:ascii="宋体" w:hAnsi="宋体" w:cs="宋体"/>
          <w:color w:val="333333"/>
          <w:kern w:val="0"/>
          <w:sz w:val="24"/>
        </w:rPr>
      </w:pPr>
      <w:r>
        <w:rPr>
          <w:rFonts w:hint="eastAsia" w:ascii="宋体" w:hAnsi="宋体" w:cs="宋体"/>
          <w:color w:val="333333"/>
          <w:kern w:val="0"/>
          <w:sz w:val="24"/>
        </w:rPr>
        <w:t>火灾探测器，当火灾探测器在接收到烟雾后，报警确认灯亮，表明该探测器工作正常，与此同时向报警控制器发出火灾信号。还要检查时钟是否走动，有无发生火警的时间记录。检查后，应及时对设备进行消音、复位。</w:t>
      </w:r>
    </w:p>
    <w:p>
      <w:pPr>
        <w:keepNext w:val="0"/>
        <w:keepLines w:val="0"/>
        <w:pageBreakBefore w:val="0"/>
        <w:widowControl/>
        <w:numPr>
          <w:ilvl w:val="0"/>
          <w:numId w:val="7"/>
        </w:numPr>
        <w:tabs>
          <w:tab w:val="left" w:pos="851"/>
          <w:tab w:val="clear" w:pos="1413"/>
        </w:tabs>
        <w:kinsoku/>
        <w:wordWrap w:val="0"/>
        <w:overflowPunct/>
        <w:topLinePunct w:val="0"/>
        <w:autoSpaceDE/>
        <w:autoSpaceDN/>
        <w:bidi w:val="0"/>
        <w:adjustRightInd/>
        <w:snapToGrid/>
        <w:spacing w:before="100" w:beforeAutospacing="0" w:after="100" w:afterAutospacing="0" w:line="500" w:lineRule="exact"/>
        <w:ind w:left="565" w:leftChars="269" w:firstLine="0"/>
        <w:textAlignment w:val="auto"/>
        <w:rPr>
          <w:rFonts w:hint="eastAsia" w:ascii="宋体" w:hAnsi="宋体" w:cs="宋体"/>
          <w:color w:val="333333"/>
          <w:kern w:val="0"/>
          <w:sz w:val="24"/>
        </w:rPr>
      </w:pPr>
      <w:r>
        <w:rPr>
          <w:rFonts w:hint="eastAsia" w:ascii="宋体" w:hAnsi="宋体" w:cs="宋体"/>
          <w:color w:val="333333"/>
          <w:kern w:val="0"/>
          <w:sz w:val="24"/>
        </w:rPr>
        <w:t>火灾探测器应每三年全部以压力气冲方式清洗一遍，并作响应阈值及其它必要的功能试验，合格者可继续使用，不合格者严禁重新安装使用。</w:t>
      </w:r>
    </w:p>
    <w:p>
      <w:pPr>
        <w:keepNext w:val="0"/>
        <w:keepLines w:val="0"/>
        <w:pageBreakBefore w:val="0"/>
        <w:widowControl/>
        <w:numPr>
          <w:ilvl w:val="0"/>
          <w:numId w:val="7"/>
        </w:numPr>
        <w:tabs>
          <w:tab w:val="left" w:pos="851"/>
          <w:tab w:val="clear" w:pos="1413"/>
        </w:tabs>
        <w:kinsoku/>
        <w:wordWrap w:val="0"/>
        <w:overflowPunct/>
        <w:topLinePunct w:val="0"/>
        <w:autoSpaceDE/>
        <w:autoSpaceDN/>
        <w:bidi w:val="0"/>
        <w:adjustRightInd/>
        <w:snapToGrid/>
        <w:spacing w:before="100" w:beforeAutospacing="0" w:after="100" w:afterAutospacing="0" w:line="500" w:lineRule="exact"/>
        <w:ind w:left="565" w:leftChars="269" w:firstLine="0"/>
        <w:textAlignment w:val="auto"/>
        <w:rPr>
          <w:rFonts w:hint="eastAsia" w:ascii="宋体" w:hAnsi="宋体" w:cs="宋体"/>
          <w:color w:val="333333"/>
          <w:kern w:val="0"/>
          <w:sz w:val="24"/>
        </w:rPr>
      </w:pPr>
      <w:r>
        <w:rPr>
          <w:rFonts w:hint="eastAsia" w:ascii="宋体" w:hAnsi="宋体" w:cs="宋体"/>
          <w:color w:val="333333"/>
          <w:kern w:val="0"/>
          <w:sz w:val="24"/>
        </w:rPr>
        <w:t>报警按钮外观组件完整，标志明显 牢固，不松，不斜，启动按钮，按钮处有发光指示，火警信号输出。每月以1/12的比例现场模拟测试。</w:t>
      </w:r>
    </w:p>
    <w:p>
      <w:pPr>
        <w:keepNext w:val="0"/>
        <w:keepLines w:val="0"/>
        <w:pageBreakBefore w:val="0"/>
        <w:widowControl/>
        <w:numPr>
          <w:ilvl w:val="0"/>
          <w:numId w:val="7"/>
        </w:numPr>
        <w:tabs>
          <w:tab w:val="left" w:pos="851"/>
          <w:tab w:val="clear" w:pos="1413"/>
        </w:tabs>
        <w:kinsoku/>
        <w:wordWrap w:val="0"/>
        <w:overflowPunct/>
        <w:topLinePunct w:val="0"/>
        <w:autoSpaceDE/>
        <w:autoSpaceDN/>
        <w:bidi w:val="0"/>
        <w:adjustRightInd/>
        <w:snapToGrid/>
        <w:spacing w:before="100" w:beforeAutospacing="0" w:after="100" w:afterAutospacing="0" w:line="500" w:lineRule="exact"/>
        <w:ind w:left="565" w:leftChars="269" w:firstLine="0"/>
        <w:textAlignment w:val="auto"/>
        <w:rPr>
          <w:rFonts w:hint="eastAsia" w:ascii="宋体" w:hAnsi="宋体" w:cs="宋体"/>
          <w:color w:val="333333"/>
          <w:kern w:val="0"/>
          <w:sz w:val="24"/>
        </w:rPr>
      </w:pPr>
      <w:r>
        <w:rPr>
          <w:rFonts w:hint="eastAsia" w:ascii="宋体" w:hAnsi="宋体" w:cs="宋体"/>
          <w:color w:val="333333"/>
          <w:kern w:val="0"/>
          <w:sz w:val="24"/>
        </w:rPr>
        <w:t>火灾事故广播扬声器的设置距本楼层内任意处≯25m,额定功率≮3W。系统可在消控室将进行中的一般广播强切换为火灾广播。消控室内可选定楼层（区域）广播。</w:t>
      </w:r>
    </w:p>
    <w:p>
      <w:pPr>
        <w:keepNext w:val="0"/>
        <w:keepLines w:val="0"/>
        <w:pageBreakBefore w:val="0"/>
        <w:widowControl/>
        <w:numPr>
          <w:ilvl w:val="0"/>
          <w:numId w:val="7"/>
        </w:numPr>
        <w:tabs>
          <w:tab w:val="left" w:pos="851"/>
          <w:tab w:val="clear" w:pos="1413"/>
        </w:tabs>
        <w:kinsoku/>
        <w:wordWrap w:val="0"/>
        <w:overflowPunct/>
        <w:topLinePunct w:val="0"/>
        <w:autoSpaceDE/>
        <w:autoSpaceDN/>
        <w:bidi w:val="0"/>
        <w:adjustRightInd/>
        <w:snapToGrid/>
        <w:spacing w:before="100" w:beforeAutospacing="0" w:after="100" w:afterAutospacing="0" w:line="500" w:lineRule="exact"/>
        <w:ind w:left="565" w:leftChars="269" w:firstLine="0"/>
        <w:textAlignment w:val="auto"/>
        <w:rPr>
          <w:rFonts w:hint="eastAsia" w:ascii="宋体" w:hAnsi="宋体" w:cs="宋体"/>
          <w:color w:val="333333"/>
          <w:kern w:val="0"/>
          <w:sz w:val="24"/>
        </w:rPr>
      </w:pPr>
      <w:r>
        <w:rPr>
          <w:rFonts w:hint="eastAsia" w:ascii="宋体" w:hAnsi="宋体" w:cs="宋体"/>
          <w:color w:val="333333"/>
          <w:kern w:val="0"/>
          <w:sz w:val="24"/>
        </w:rPr>
        <w:t>控制室与设备间的消防分机通话功能正常，语音清楚，与手动报警按钮处插孔通话功能正常，语音清晰，与“119”台通话功能正常，语音清楚。</w:t>
      </w:r>
    </w:p>
    <w:p>
      <w:pPr>
        <w:keepNext w:val="0"/>
        <w:keepLines w:val="0"/>
        <w:pageBreakBefore w:val="0"/>
        <w:widowControl/>
        <w:numPr>
          <w:ilvl w:val="0"/>
          <w:numId w:val="7"/>
        </w:numPr>
        <w:tabs>
          <w:tab w:val="left" w:pos="851"/>
          <w:tab w:val="clear" w:pos="1413"/>
        </w:tabs>
        <w:kinsoku/>
        <w:wordWrap w:val="0"/>
        <w:overflowPunct/>
        <w:topLinePunct w:val="0"/>
        <w:autoSpaceDE/>
        <w:autoSpaceDN/>
        <w:bidi w:val="0"/>
        <w:adjustRightInd/>
        <w:snapToGrid/>
        <w:spacing w:before="100" w:beforeAutospacing="0" w:after="100" w:afterAutospacing="0" w:line="500" w:lineRule="exact"/>
        <w:ind w:left="565" w:leftChars="269" w:firstLine="0"/>
        <w:textAlignment w:val="auto"/>
        <w:rPr>
          <w:rFonts w:hint="eastAsia" w:ascii="宋体" w:hAnsi="宋体" w:cs="宋体"/>
          <w:color w:val="333333"/>
          <w:kern w:val="0"/>
          <w:sz w:val="24"/>
        </w:rPr>
      </w:pPr>
      <w:r>
        <w:rPr>
          <w:rFonts w:hint="eastAsia" w:ascii="宋体" w:hAnsi="宋体" w:cs="宋体"/>
          <w:color w:val="333333"/>
          <w:kern w:val="0"/>
          <w:sz w:val="24"/>
        </w:rPr>
        <w:t>声光报警器安装牢固，平衡，不斜，不松动。试验时能够及时报警  。</w:t>
      </w:r>
    </w:p>
    <w:p>
      <w:pPr>
        <w:keepNext w:val="0"/>
        <w:keepLines w:val="0"/>
        <w:pageBreakBefore w:val="0"/>
        <w:widowControl/>
        <w:numPr>
          <w:ilvl w:val="0"/>
          <w:numId w:val="7"/>
        </w:numPr>
        <w:tabs>
          <w:tab w:val="left" w:pos="851"/>
          <w:tab w:val="clear" w:pos="1413"/>
        </w:tabs>
        <w:kinsoku/>
        <w:wordWrap w:val="0"/>
        <w:overflowPunct/>
        <w:topLinePunct w:val="0"/>
        <w:autoSpaceDE/>
        <w:autoSpaceDN/>
        <w:bidi w:val="0"/>
        <w:adjustRightInd/>
        <w:snapToGrid/>
        <w:spacing w:before="100" w:beforeAutospacing="0" w:after="100" w:afterAutospacing="0" w:line="500" w:lineRule="exact"/>
        <w:ind w:left="565" w:leftChars="269" w:firstLine="0"/>
        <w:textAlignment w:val="auto"/>
        <w:rPr>
          <w:rFonts w:hint="eastAsia" w:ascii="宋体" w:hAnsi="宋体" w:cs="宋体"/>
          <w:color w:val="333333"/>
          <w:kern w:val="0"/>
          <w:sz w:val="24"/>
        </w:rPr>
      </w:pPr>
      <w:r>
        <w:rPr>
          <w:rFonts w:hint="eastAsia" w:ascii="宋体" w:hAnsi="宋体" w:cs="宋体"/>
          <w:color w:val="333333"/>
          <w:kern w:val="0"/>
          <w:sz w:val="24"/>
        </w:rPr>
        <w:t>火灾应急照明灯外表完整无损，短路保护及无锁按钮试验。报警试验时能够准确动作。</w:t>
      </w:r>
    </w:p>
    <w:p>
      <w:pPr>
        <w:keepNext w:val="0"/>
        <w:keepLines w:val="0"/>
        <w:pageBreakBefore w:val="0"/>
        <w:widowControl/>
        <w:numPr>
          <w:ilvl w:val="0"/>
          <w:numId w:val="7"/>
        </w:numPr>
        <w:tabs>
          <w:tab w:val="left" w:pos="851"/>
          <w:tab w:val="clear" w:pos="1413"/>
        </w:tabs>
        <w:kinsoku/>
        <w:wordWrap w:val="0"/>
        <w:overflowPunct/>
        <w:topLinePunct w:val="0"/>
        <w:autoSpaceDE/>
        <w:autoSpaceDN/>
        <w:bidi w:val="0"/>
        <w:adjustRightInd/>
        <w:snapToGrid/>
        <w:spacing w:before="100" w:beforeAutospacing="0" w:after="100" w:afterAutospacing="0" w:line="500" w:lineRule="exact"/>
        <w:ind w:left="565" w:leftChars="269" w:firstLine="0"/>
        <w:textAlignment w:val="auto"/>
        <w:rPr>
          <w:rFonts w:hint="eastAsia" w:ascii="宋体" w:hAnsi="宋体" w:cs="宋体"/>
          <w:color w:val="333333"/>
          <w:kern w:val="0"/>
          <w:sz w:val="24"/>
        </w:rPr>
      </w:pPr>
      <w:r>
        <w:rPr>
          <w:rFonts w:hint="eastAsia" w:ascii="宋体" w:hAnsi="宋体" w:cs="宋体"/>
          <w:color w:val="333333"/>
          <w:kern w:val="0"/>
          <w:sz w:val="24"/>
        </w:rPr>
        <w:t>切除非消防电源 脱扣器外表完整无损，报警试验时能够准确动作。</w:t>
      </w:r>
    </w:p>
    <w:p>
      <w:pPr>
        <w:keepNext w:val="0"/>
        <w:keepLines w:val="0"/>
        <w:pageBreakBefore w:val="0"/>
        <w:widowControl/>
        <w:numPr>
          <w:ilvl w:val="0"/>
          <w:numId w:val="7"/>
        </w:numPr>
        <w:tabs>
          <w:tab w:val="left" w:pos="851"/>
          <w:tab w:val="clear" w:pos="1413"/>
        </w:tabs>
        <w:kinsoku/>
        <w:wordWrap w:val="0"/>
        <w:overflowPunct/>
        <w:topLinePunct w:val="0"/>
        <w:autoSpaceDE/>
        <w:autoSpaceDN/>
        <w:bidi w:val="0"/>
        <w:adjustRightInd/>
        <w:snapToGrid/>
        <w:spacing w:before="100" w:beforeAutospacing="0" w:after="100" w:afterAutospacing="0" w:line="500" w:lineRule="exact"/>
        <w:ind w:left="565" w:leftChars="269" w:firstLine="0"/>
        <w:textAlignment w:val="auto"/>
        <w:rPr>
          <w:rFonts w:hint="eastAsia" w:ascii="宋体" w:hAnsi="宋体" w:cs="宋体"/>
          <w:color w:val="333333"/>
          <w:kern w:val="0"/>
          <w:sz w:val="24"/>
        </w:rPr>
      </w:pPr>
      <w:r>
        <w:rPr>
          <w:rFonts w:hint="eastAsia" w:ascii="宋体" w:hAnsi="宋体" w:cs="宋体"/>
          <w:color w:val="333333"/>
          <w:kern w:val="0"/>
          <w:sz w:val="24"/>
        </w:rPr>
        <w:t> 安全疏散指示灯外表完整无损，疏散指示方向和图形指向正确，应急转换时间≯5S，可连续转换10次。</w:t>
      </w:r>
    </w:p>
    <w:p>
      <w:pPr>
        <w:keepNext w:val="0"/>
        <w:keepLines w:val="0"/>
        <w:pageBreakBefore w:val="0"/>
        <w:widowControl/>
        <w:numPr>
          <w:ilvl w:val="0"/>
          <w:numId w:val="7"/>
        </w:numPr>
        <w:tabs>
          <w:tab w:val="left" w:pos="851"/>
          <w:tab w:val="clear" w:pos="1413"/>
        </w:tabs>
        <w:kinsoku/>
        <w:wordWrap w:val="0"/>
        <w:overflowPunct/>
        <w:topLinePunct w:val="0"/>
        <w:autoSpaceDE/>
        <w:autoSpaceDN/>
        <w:bidi w:val="0"/>
        <w:adjustRightInd/>
        <w:snapToGrid/>
        <w:spacing w:before="100" w:beforeAutospacing="0" w:after="100" w:afterAutospacing="0" w:line="500" w:lineRule="exact"/>
        <w:ind w:left="565" w:leftChars="269" w:firstLine="0"/>
        <w:textAlignment w:val="auto"/>
        <w:rPr>
          <w:rFonts w:hint="eastAsia" w:ascii="宋体" w:hAnsi="宋体" w:cs="宋体"/>
          <w:color w:val="333333"/>
          <w:kern w:val="0"/>
          <w:sz w:val="24"/>
        </w:rPr>
      </w:pPr>
      <w:r>
        <w:rPr>
          <w:rFonts w:hint="eastAsia" w:ascii="宋体" w:hAnsi="宋体" w:cs="宋体"/>
          <w:color w:val="333333"/>
          <w:kern w:val="0"/>
          <w:sz w:val="24"/>
        </w:rPr>
        <w:t>确认火灾后，消防电梯可手动、自动迫降至首层，信号能反馈至控制室。</w:t>
      </w:r>
    </w:p>
    <w:p>
      <w:pPr>
        <w:keepNext w:val="0"/>
        <w:keepLines w:val="0"/>
        <w:pageBreakBefore w:val="0"/>
        <w:numPr>
          <w:ilvl w:val="0"/>
          <w:numId w:val="6"/>
        </w:numPr>
        <w:kinsoku/>
        <w:overflowPunct/>
        <w:topLinePunct w:val="0"/>
        <w:autoSpaceDE/>
        <w:autoSpaceDN/>
        <w:bidi w:val="0"/>
        <w:adjustRightInd/>
        <w:snapToGrid/>
        <w:spacing w:beforeAutospacing="0" w:afterAutospacing="0" w:line="500" w:lineRule="exact"/>
        <w:textAlignment w:val="auto"/>
        <w:rPr>
          <w:rFonts w:hint="eastAsia" w:ascii="楷体_GB2312" w:hAnsi="宋体" w:eastAsia="楷体_GB2312" w:cs="宋体"/>
          <w:b/>
          <w:color w:val="333333"/>
          <w:kern w:val="0"/>
          <w:sz w:val="24"/>
        </w:rPr>
      </w:pPr>
      <w:r>
        <w:rPr>
          <w:rFonts w:hint="eastAsia" w:ascii="楷体_GB2312" w:hAnsi="宋体" w:eastAsia="楷体_GB2312" w:cs="宋体"/>
          <w:b/>
          <w:color w:val="333333"/>
          <w:kern w:val="0"/>
          <w:sz w:val="24"/>
        </w:rPr>
        <w:t>自动喷淋系统及消火栓系统</w:t>
      </w:r>
    </w:p>
    <w:p>
      <w:pPr>
        <w:keepNext w:val="0"/>
        <w:keepLines w:val="0"/>
        <w:pageBreakBefore w:val="0"/>
        <w:numPr>
          <w:ilvl w:val="0"/>
          <w:numId w:val="8"/>
        </w:numPr>
        <w:kinsoku/>
        <w:overflowPunct/>
        <w:topLinePunct w:val="0"/>
        <w:autoSpaceDE/>
        <w:autoSpaceDN/>
        <w:bidi w:val="0"/>
        <w:adjustRightInd/>
        <w:snapToGrid/>
        <w:spacing w:beforeAutospacing="0" w:afterAutospacing="0" w:line="500" w:lineRule="exact"/>
        <w:textAlignment w:val="auto"/>
        <w:rPr>
          <w:rFonts w:hint="eastAsia" w:ascii="宋体" w:hAnsi="宋体" w:cs="宋体"/>
          <w:color w:val="333333"/>
          <w:kern w:val="0"/>
          <w:sz w:val="24"/>
        </w:rPr>
      </w:pPr>
      <w:r>
        <w:rPr>
          <w:rFonts w:hint="eastAsia" w:ascii="宋体" w:hAnsi="宋体" w:cs="宋体"/>
          <w:color w:val="333333"/>
          <w:kern w:val="0"/>
          <w:sz w:val="24"/>
        </w:rPr>
        <w:t>系统必须有监督、检测、维护制度，保证系统处于准工作状态。负责系统维护的人员安排熟悉自动喷水灭火系统原理、性能和操作维护规程。负责系统维护的人员定期必须巡检责任区内所有供水总控制阀、报警控制阀及其附属组件，进行外观检查，并观察压力表指针所指是否正确的压力，保证系统处于无故障状态。供水水源必须保证供给设计所需的水量和水压，每年对水源的供水能力进行一次测定。</w:t>
      </w:r>
    </w:p>
    <w:p>
      <w:pPr>
        <w:keepNext w:val="0"/>
        <w:keepLines w:val="0"/>
        <w:pageBreakBefore w:val="0"/>
        <w:numPr>
          <w:ilvl w:val="0"/>
          <w:numId w:val="8"/>
        </w:numPr>
        <w:kinsoku/>
        <w:overflowPunct/>
        <w:topLinePunct w:val="0"/>
        <w:autoSpaceDE/>
        <w:autoSpaceDN/>
        <w:bidi w:val="0"/>
        <w:adjustRightInd/>
        <w:snapToGrid/>
        <w:spacing w:beforeAutospacing="0" w:afterAutospacing="0" w:line="500" w:lineRule="exact"/>
        <w:textAlignment w:val="auto"/>
        <w:rPr>
          <w:rFonts w:hint="eastAsia" w:ascii="宋体" w:hAnsi="宋体" w:cs="宋体"/>
          <w:color w:val="333333"/>
          <w:kern w:val="0"/>
          <w:sz w:val="24"/>
        </w:rPr>
      </w:pPr>
      <w:r>
        <w:rPr>
          <w:rFonts w:hint="eastAsia" w:ascii="宋体" w:hAnsi="宋体" w:cs="宋体"/>
          <w:color w:val="333333"/>
          <w:kern w:val="0"/>
          <w:sz w:val="24"/>
        </w:rPr>
        <w:t>消防用的蓄水池、高位水箱、气压水罐每月应检查核对其消防水位及气压水罐的气体压力，并对保证消防储备水不被他用的措施进行检查，发现有故障，应及时进行修理。</w:t>
      </w:r>
    </w:p>
    <w:p>
      <w:pPr>
        <w:keepNext w:val="0"/>
        <w:keepLines w:val="0"/>
        <w:pageBreakBefore w:val="0"/>
        <w:numPr>
          <w:ilvl w:val="0"/>
          <w:numId w:val="8"/>
        </w:numPr>
        <w:kinsoku/>
        <w:overflowPunct/>
        <w:topLinePunct w:val="0"/>
        <w:autoSpaceDE/>
        <w:autoSpaceDN/>
        <w:bidi w:val="0"/>
        <w:adjustRightInd/>
        <w:snapToGrid/>
        <w:spacing w:beforeAutospacing="0" w:afterAutospacing="0" w:line="500" w:lineRule="exact"/>
        <w:textAlignment w:val="auto"/>
        <w:rPr>
          <w:rFonts w:hint="eastAsia" w:ascii="宋体" w:hAnsi="宋体" w:cs="宋体"/>
          <w:color w:val="333333"/>
          <w:kern w:val="0"/>
          <w:sz w:val="24"/>
        </w:rPr>
      </w:pPr>
      <w:r>
        <w:rPr>
          <w:rFonts w:hint="eastAsia" w:ascii="宋体" w:hAnsi="宋体" w:cs="宋体"/>
          <w:color w:val="333333"/>
          <w:kern w:val="0"/>
          <w:sz w:val="24"/>
        </w:rPr>
        <w:t>消防专用蓄水池或水箱、水罐的水应根据当地环境、气候条件不定期更换，避免腐败。</w:t>
      </w:r>
    </w:p>
    <w:p>
      <w:pPr>
        <w:keepNext w:val="0"/>
        <w:keepLines w:val="0"/>
        <w:pageBreakBefore w:val="0"/>
        <w:numPr>
          <w:ilvl w:val="0"/>
          <w:numId w:val="8"/>
        </w:numPr>
        <w:kinsoku/>
        <w:overflowPunct/>
        <w:topLinePunct w:val="0"/>
        <w:autoSpaceDE/>
        <w:autoSpaceDN/>
        <w:bidi w:val="0"/>
        <w:adjustRightInd/>
        <w:snapToGrid/>
        <w:spacing w:beforeAutospacing="0" w:afterAutospacing="0" w:line="500" w:lineRule="exact"/>
        <w:textAlignment w:val="auto"/>
        <w:rPr>
          <w:rFonts w:hint="eastAsia" w:ascii="宋体" w:hAnsi="宋体" w:cs="宋体"/>
          <w:color w:val="333333"/>
          <w:kern w:val="0"/>
          <w:sz w:val="24"/>
        </w:rPr>
      </w:pPr>
      <w:r>
        <w:rPr>
          <w:rFonts w:hint="eastAsia" w:ascii="宋体" w:hAnsi="宋体" w:cs="宋体"/>
          <w:color w:val="333333"/>
          <w:kern w:val="0"/>
          <w:sz w:val="24"/>
        </w:rPr>
        <w:t>寒冷季节，储水设备的任何部位都不允许结冰。设置储水设别的房间应每天检查。保持室温不低于5℃。</w:t>
      </w:r>
    </w:p>
    <w:p>
      <w:pPr>
        <w:keepNext w:val="0"/>
        <w:keepLines w:val="0"/>
        <w:pageBreakBefore w:val="0"/>
        <w:numPr>
          <w:ilvl w:val="0"/>
          <w:numId w:val="8"/>
        </w:numPr>
        <w:kinsoku/>
        <w:overflowPunct/>
        <w:topLinePunct w:val="0"/>
        <w:autoSpaceDE/>
        <w:autoSpaceDN/>
        <w:bidi w:val="0"/>
        <w:adjustRightInd/>
        <w:snapToGrid/>
        <w:spacing w:beforeAutospacing="0" w:afterAutospacing="0" w:line="500" w:lineRule="exact"/>
        <w:textAlignment w:val="auto"/>
        <w:rPr>
          <w:rFonts w:hint="eastAsia" w:ascii="宋体" w:hAnsi="宋体" w:cs="宋体"/>
          <w:color w:val="333333"/>
          <w:kern w:val="0"/>
          <w:sz w:val="24"/>
        </w:rPr>
      </w:pPr>
      <w:r>
        <w:rPr>
          <w:rFonts w:hint="eastAsia" w:ascii="宋体" w:hAnsi="宋体" w:cs="宋体"/>
          <w:color w:val="333333"/>
          <w:kern w:val="0"/>
          <w:sz w:val="24"/>
        </w:rPr>
        <w:t>每两年应对储水设备结构材料进行检查、修补。钢板水箱的玻璃水位计，两端的角阀在不观察时应关闭。</w:t>
      </w:r>
    </w:p>
    <w:p>
      <w:pPr>
        <w:keepNext w:val="0"/>
        <w:keepLines w:val="0"/>
        <w:pageBreakBefore w:val="0"/>
        <w:numPr>
          <w:ilvl w:val="0"/>
          <w:numId w:val="8"/>
        </w:numPr>
        <w:kinsoku/>
        <w:overflowPunct/>
        <w:topLinePunct w:val="0"/>
        <w:autoSpaceDE/>
        <w:autoSpaceDN/>
        <w:bidi w:val="0"/>
        <w:adjustRightInd/>
        <w:snapToGrid/>
        <w:spacing w:beforeAutospacing="0" w:afterAutospacing="0" w:line="500" w:lineRule="exact"/>
        <w:textAlignment w:val="auto"/>
        <w:rPr>
          <w:rFonts w:hint="eastAsia" w:ascii="宋体" w:hAnsi="宋体" w:cs="宋体"/>
          <w:color w:val="333333"/>
          <w:kern w:val="0"/>
          <w:sz w:val="24"/>
        </w:rPr>
      </w:pPr>
      <w:r>
        <w:rPr>
          <w:rFonts w:hint="eastAsia" w:ascii="宋体" w:hAnsi="宋体" w:cs="宋体"/>
          <w:color w:val="333333"/>
          <w:kern w:val="0"/>
          <w:sz w:val="24"/>
        </w:rPr>
        <w:t>检查测试消火栓按钮报警及远程启泵功能，以1/12的比例模拟测试，一年内全部测试完毕。</w:t>
      </w:r>
    </w:p>
    <w:p>
      <w:pPr>
        <w:keepNext w:val="0"/>
        <w:keepLines w:val="0"/>
        <w:pageBreakBefore w:val="0"/>
        <w:numPr>
          <w:ilvl w:val="0"/>
          <w:numId w:val="8"/>
        </w:numPr>
        <w:kinsoku/>
        <w:overflowPunct/>
        <w:topLinePunct w:val="0"/>
        <w:autoSpaceDE/>
        <w:autoSpaceDN/>
        <w:bidi w:val="0"/>
        <w:adjustRightInd/>
        <w:snapToGrid/>
        <w:spacing w:beforeAutospacing="0" w:afterAutospacing="0" w:line="500" w:lineRule="exact"/>
        <w:textAlignment w:val="auto"/>
        <w:rPr>
          <w:rFonts w:hint="eastAsia" w:ascii="宋体" w:hAnsi="宋体" w:cs="宋体"/>
          <w:color w:val="333333"/>
          <w:kern w:val="0"/>
          <w:sz w:val="24"/>
        </w:rPr>
      </w:pPr>
      <w:r>
        <w:rPr>
          <w:rFonts w:hint="eastAsia" w:ascii="宋体" w:hAnsi="宋体" w:cs="宋体"/>
          <w:color w:val="333333"/>
          <w:kern w:val="0"/>
          <w:sz w:val="24"/>
        </w:rPr>
        <w:t>消防水泵应每月启动运转一次，内燃机驱动的消防泵应每星期启动运转一次。如消防水泵设计为自动控制启动运行时，应模拟自动控制的参数使其启动运转。</w:t>
      </w:r>
    </w:p>
    <w:p>
      <w:pPr>
        <w:keepNext w:val="0"/>
        <w:keepLines w:val="0"/>
        <w:pageBreakBefore w:val="0"/>
        <w:numPr>
          <w:ilvl w:val="0"/>
          <w:numId w:val="8"/>
        </w:numPr>
        <w:kinsoku/>
        <w:overflowPunct/>
        <w:topLinePunct w:val="0"/>
        <w:autoSpaceDE/>
        <w:autoSpaceDN/>
        <w:bidi w:val="0"/>
        <w:adjustRightInd/>
        <w:snapToGrid/>
        <w:spacing w:beforeAutospacing="0" w:afterAutospacing="0" w:line="500" w:lineRule="exact"/>
        <w:textAlignment w:val="auto"/>
        <w:rPr>
          <w:rFonts w:hint="eastAsia" w:ascii="宋体" w:hAnsi="宋体" w:cs="宋体"/>
          <w:color w:val="333333"/>
          <w:kern w:val="0"/>
          <w:sz w:val="24"/>
        </w:rPr>
      </w:pPr>
      <w:r>
        <w:rPr>
          <w:rFonts w:hint="eastAsia" w:ascii="宋体" w:hAnsi="宋体" w:cs="宋体"/>
          <w:color w:val="333333"/>
          <w:kern w:val="0"/>
          <w:sz w:val="24"/>
        </w:rPr>
        <w:t>每个季度应利用报警控制阀旁的放水试验阀进行一次供水水流试验，以验证系统的供水能力。</w:t>
      </w:r>
    </w:p>
    <w:p>
      <w:pPr>
        <w:keepNext w:val="0"/>
        <w:keepLines w:val="0"/>
        <w:pageBreakBefore w:val="0"/>
        <w:numPr>
          <w:ilvl w:val="0"/>
          <w:numId w:val="8"/>
        </w:numPr>
        <w:kinsoku/>
        <w:overflowPunct/>
        <w:topLinePunct w:val="0"/>
        <w:autoSpaceDE/>
        <w:autoSpaceDN/>
        <w:bidi w:val="0"/>
        <w:adjustRightInd/>
        <w:snapToGrid/>
        <w:spacing w:beforeAutospacing="0" w:afterAutospacing="0" w:line="500" w:lineRule="exact"/>
        <w:textAlignment w:val="auto"/>
        <w:rPr>
          <w:rFonts w:hint="eastAsia" w:ascii="宋体" w:hAnsi="宋体" w:cs="宋体"/>
          <w:color w:val="333333"/>
          <w:kern w:val="0"/>
          <w:sz w:val="24"/>
        </w:rPr>
      </w:pPr>
      <w:r>
        <w:rPr>
          <w:rFonts w:hint="eastAsia" w:ascii="宋体" w:hAnsi="宋体" w:cs="宋体"/>
          <w:color w:val="333333"/>
          <w:kern w:val="0"/>
          <w:sz w:val="24"/>
        </w:rPr>
        <w:t>系统上所有控制阀门均应用铅封或锁链固定在开启或规定的状态。阀门应编号，并挂上标牌，标明阀门在系统中所控制的部位和应处于正确的状态。</w:t>
      </w:r>
    </w:p>
    <w:p>
      <w:pPr>
        <w:keepNext w:val="0"/>
        <w:keepLines w:val="0"/>
        <w:pageBreakBefore w:val="0"/>
        <w:numPr>
          <w:ilvl w:val="0"/>
          <w:numId w:val="8"/>
        </w:numPr>
        <w:kinsoku/>
        <w:overflowPunct/>
        <w:topLinePunct w:val="0"/>
        <w:autoSpaceDE/>
        <w:autoSpaceDN/>
        <w:bidi w:val="0"/>
        <w:adjustRightInd/>
        <w:snapToGrid/>
        <w:spacing w:beforeAutospacing="0" w:afterAutospacing="0" w:line="500" w:lineRule="exact"/>
        <w:textAlignment w:val="auto"/>
        <w:rPr>
          <w:rFonts w:hint="eastAsia" w:ascii="宋体" w:hAnsi="宋体" w:cs="宋体"/>
          <w:color w:val="333333"/>
          <w:kern w:val="0"/>
          <w:sz w:val="24"/>
        </w:rPr>
      </w:pPr>
      <w:r>
        <w:rPr>
          <w:rFonts w:hint="eastAsia" w:ascii="宋体" w:hAnsi="宋体" w:cs="宋体"/>
          <w:color w:val="333333"/>
          <w:kern w:val="0"/>
          <w:sz w:val="24"/>
        </w:rPr>
        <w:t>每月应对铅封和锁链进行一次检查，如有破坏或损坏应及时修理更换，保证控制阀门不被误关闭，保证供水管路畅通。</w:t>
      </w:r>
    </w:p>
    <w:p>
      <w:pPr>
        <w:keepNext w:val="0"/>
        <w:keepLines w:val="0"/>
        <w:pageBreakBefore w:val="0"/>
        <w:numPr>
          <w:ilvl w:val="0"/>
          <w:numId w:val="8"/>
        </w:numPr>
        <w:kinsoku/>
        <w:overflowPunct/>
        <w:topLinePunct w:val="0"/>
        <w:autoSpaceDE/>
        <w:autoSpaceDN/>
        <w:bidi w:val="0"/>
        <w:adjustRightInd/>
        <w:snapToGrid/>
        <w:spacing w:beforeAutospacing="0" w:afterAutospacing="0" w:line="500" w:lineRule="exact"/>
        <w:textAlignment w:val="auto"/>
        <w:rPr>
          <w:rFonts w:hint="eastAsia" w:ascii="宋体" w:hAnsi="宋体" w:cs="宋体"/>
          <w:color w:val="333333"/>
          <w:kern w:val="0"/>
          <w:sz w:val="24"/>
        </w:rPr>
      </w:pPr>
      <w:r>
        <w:rPr>
          <w:rFonts w:hint="eastAsia" w:ascii="宋体" w:hAnsi="宋体" w:cs="宋体"/>
          <w:color w:val="333333"/>
          <w:kern w:val="0"/>
          <w:sz w:val="24"/>
        </w:rPr>
        <w:t>建筑物室外阀门井中，进水管上的控制阀门应每季度检查一次，以核实处于全开状态。</w:t>
      </w:r>
    </w:p>
    <w:p>
      <w:pPr>
        <w:keepNext w:val="0"/>
        <w:keepLines w:val="0"/>
        <w:pageBreakBefore w:val="0"/>
        <w:numPr>
          <w:ilvl w:val="0"/>
          <w:numId w:val="8"/>
        </w:numPr>
        <w:kinsoku/>
        <w:overflowPunct/>
        <w:topLinePunct w:val="0"/>
        <w:autoSpaceDE/>
        <w:autoSpaceDN/>
        <w:bidi w:val="0"/>
        <w:adjustRightInd/>
        <w:snapToGrid/>
        <w:spacing w:beforeAutospacing="0" w:afterAutospacing="0" w:line="500" w:lineRule="exact"/>
        <w:textAlignment w:val="auto"/>
        <w:rPr>
          <w:rFonts w:hint="eastAsia" w:ascii="宋体" w:hAnsi="宋体" w:cs="宋体"/>
          <w:color w:val="333333"/>
          <w:kern w:val="0"/>
          <w:sz w:val="24"/>
        </w:rPr>
      </w:pPr>
      <w:r>
        <w:rPr>
          <w:rFonts w:hint="eastAsia" w:ascii="宋体" w:hAnsi="宋体" w:cs="宋体"/>
          <w:color w:val="333333"/>
          <w:kern w:val="0"/>
          <w:sz w:val="24"/>
        </w:rPr>
        <w:t>室外水泵接合器的接口与配套附件应每月检查一次，保证接口完好、无渗漏、焖盖齐全。</w:t>
      </w:r>
    </w:p>
    <w:p>
      <w:pPr>
        <w:keepNext w:val="0"/>
        <w:keepLines w:val="0"/>
        <w:pageBreakBefore w:val="0"/>
        <w:numPr>
          <w:ilvl w:val="0"/>
          <w:numId w:val="8"/>
        </w:numPr>
        <w:kinsoku/>
        <w:overflowPunct/>
        <w:topLinePunct w:val="0"/>
        <w:autoSpaceDE/>
        <w:autoSpaceDN/>
        <w:bidi w:val="0"/>
        <w:adjustRightInd/>
        <w:snapToGrid/>
        <w:spacing w:beforeAutospacing="0" w:afterAutospacing="0" w:line="500" w:lineRule="exact"/>
        <w:textAlignment w:val="auto"/>
        <w:rPr>
          <w:rFonts w:hint="eastAsia" w:ascii="宋体" w:hAnsi="宋体" w:cs="宋体"/>
          <w:color w:val="333333"/>
          <w:kern w:val="0"/>
          <w:sz w:val="24"/>
        </w:rPr>
      </w:pPr>
      <w:r>
        <w:rPr>
          <w:rFonts w:hint="eastAsia" w:ascii="宋体" w:hAnsi="宋体" w:cs="宋体"/>
          <w:color w:val="333333"/>
          <w:kern w:val="0"/>
          <w:sz w:val="24"/>
        </w:rPr>
        <w:t>每月应对管道上的水流指示器进行试验，利用末端试水装置排水，检查其是否能及时报警。</w:t>
      </w:r>
    </w:p>
    <w:p>
      <w:pPr>
        <w:keepNext w:val="0"/>
        <w:keepLines w:val="0"/>
        <w:pageBreakBefore w:val="0"/>
        <w:numPr>
          <w:ilvl w:val="0"/>
          <w:numId w:val="8"/>
        </w:numPr>
        <w:kinsoku/>
        <w:overflowPunct/>
        <w:topLinePunct w:val="0"/>
        <w:autoSpaceDE/>
        <w:autoSpaceDN/>
        <w:bidi w:val="0"/>
        <w:adjustRightInd/>
        <w:snapToGrid/>
        <w:spacing w:beforeAutospacing="0" w:afterAutospacing="0" w:line="500" w:lineRule="exact"/>
        <w:textAlignment w:val="auto"/>
        <w:rPr>
          <w:rFonts w:hint="eastAsia" w:ascii="宋体" w:hAnsi="宋体" w:cs="宋体"/>
          <w:color w:val="333333"/>
          <w:kern w:val="0"/>
          <w:sz w:val="24"/>
        </w:rPr>
      </w:pPr>
      <w:r>
        <w:rPr>
          <w:rFonts w:hint="eastAsia" w:ascii="宋体" w:hAnsi="宋体" w:cs="宋体"/>
          <w:color w:val="333333"/>
          <w:kern w:val="0"/>
          <w:sz w:val="24"/>
        </w:rPr>
        <w:t>每月应对喷头进行外观检查，发现不正常的喷头应及时更换。</w:t>
      </w:r>
    </w:p>
    <w:p>
      <w:pPr>
        <w:keepNext w:val="0"/>
        <w:keepLines w:val="0"/>
        <w:pageBreakBefore w:val="0"/>
        <w:numPr>
          <w:ilvl w:val="0"/>
          <w:numId w:val="8"/>
        </w:numPr>
        <w:kinsoku/>
        <w:overflowPunct/>
        <w:topLinePunct w:val="0"/>
        <w:autoSpaceDE/>
        <w:autoSpaceDN/>
        <w:bidi w:val="0"/>
        <w:adjustRightInd/>
        <w:snapToGrid/>
        <w:spacing w:beforeAutospacing="0" w:afterAutospacing="0" w:line="500" w:lineRule="exact"/>
        <w:textAlignment w:val="auto"/>
        <w:rPr>
          <w:rFonts w:hint="eastAsia" w:ascii="宋体" w:hAnsi="宋体" w:cs="宋体"/>
          <w:color w:val="333333"/>
          <w:kern w:val="0"/>
          <w:sz w:val="24"/>
        </w:rPr>
      </w:pPr>
      <w:r>
        <w:rPr>
          <w:rFonts w:hint="eastAsia" w:ascii="宋体" w:hAnsi="宋体" w:cs="宋体"/>
          <w:color w:val="333333"/>
          <w:kern w:val="0"/>
          <w:sz w:val="24"/>
        </w:rPr>
        <w:t>各种不同规格的喷头均应分别存储一定数量的备品，其数量不小于总数的1%，且每种备用喷头不应小于10只。喷头的更换或安装均需使用专用喷头扳手。扳手应保存在消防值班室里。</w:t>
      </w:r>
    </w:p>
    <w:p>
      <w:pPr>
        <w:keepNext w:val="0"/>
        <w:keepLines w:val="0"/>
        <w:pageBreakBefore w:val="0"/>
        <w:numPr>
          <w:ilvl w:val="0"/>
          <w:numId w:val="8"/>
        </w:numPr>
        <w:kinsoku/>
        <w:overflowPunct/>
        <w:topLinePunct w:val="0"/>
        <w:autoSpaceDE/>
        <w:autoSpaceDN/>
        <w:bidi w:val="0"/>
        <w:adjustRightInd/>
        <w:snapToGrid/>
        <w:spacing w:beforeAutospacing="0" w:afterAutospacing="0" w:line="500" w:lineRule="exact"/>
        <w:textAlignment w:val="auto"/>
        <w:rPr>
          <w:rFonts w:hint="eastAsia" w:ascii="宋体" w:hAnsi="宋体" w:cs="宋体"/>
          <w:color w:val="333333"/>
          <w:kern w:val="0"/>
          <w:sz w:val="24"/>
        </w:rPr>
      </w:pPr>
      <w:r>
        <w:rPr>
          <w:rFonts w:hint="eastAsia" w:ascii="宋体" w:hAnsi="宋体" w:cs="宋体"/>
          <w:color w:val="333333"/>
          <w:kern w:val="0"/>
          <w:sz w:val="24"/>
        </w:rPr>
        <w:t>发现故障，需停水进行修理前，均应向主管值班人员报告，取得责任系统维护专职人员同意，并现场监督，方能动工。</w:t>
      </w:r>
    </w:p>
    <w:p>
      <w:pPr>
        <w:keepNext w:val="0"/>
        <w:keepLines w:val="0"/>
        <w:pageBreakBefore w:val="0"/>
        <w:numPr>
          <w:ilvl w:val="0"/>
          <w:numId w:val="6"/>
        </w:numPr>
        <w:kinsoku/>
        <w:overflowPunct/>
        <w:topLinePunct w:val="0"/>
        <w:autoSpaceDE/>
        <w:autoSpaceDN/>
        <w:bidi w:val="0"/>
        <w:adjustRightInd/>
        <w:snapToGrid/>
        <w:spacing w:beforeAutospacing="0" w:afterAutospacing="0" w:line="500" w:lineRule="exact"/>
        <w:textAlignment w:val="auto"/>
        <w:rPr>
          <w:rFonts w:hint="eastAsia" w:ascii="楷体_GB2312" w:hAnsi="宋体" w:eastAsia="楷体_GB2312" w:cs="宋体"/>
          <w:b/>
          <w:color w:val="333333"/>
          <w:kern w:val="0"/>
          <w:sz w:val="24"/>
        </w:rPr>
      </w:pPr>
      <w:r>
        <w:rPr>
          <w:rFonts w:hint="eastAsia" w:ascii="楷体_GB2312" w:hAnsi="宋体" w:eastAsia="楷体_GB2312" w:cs="宋体"/>
          <w:b/>
          <w:color w:val="333333"/>
          <w:kern w:val="0"/>
          <w:sz w:val="24"/>
        </w:rPr>
        <w:t>对排烟阀、排烟防火阀、送风阀的维护保养： </w:t>
      </w:r>
    </w:p>
    <w:p>
      <w:pPr>
        <w:keepNext w:val="0"/>
        <w:keepLines w:val="0"/>
        <w:pageBreakBefore w:val="0"/>
        <w:numPr>
          <w:ilvl w:val="0"/>
          <w:numId w:val="9"/>
        </w:numPr>
        <w:kinsoku/>
        <w:overflowPunct/>
        <w:topLinePunct w:val="0"/>
        <w:autoSpaceDE/>
        <w:autoSpaceDN/>
        <w:bidi w:val="0"/>
        <w:adjustRightInd/>
        <w:snapToGrid/>
        <w:spacing w:beforeAutospacing="0" w:afterAutospacing="0" w:line="500" w:lineRule="exact"/>
        <w:textAlignment w:val="auto"/>
        <w:rPr>
          <w:rFonts w:hint="eastAsia" w:ascii="宋体" w:hAnsi="宋体" w:cs="宋体"/>
          <w:color w:val="333333"/>
          <w:kern w:val="0"/>
          <w:sz w:val="24"/>
        </w:rPr>
      </w:pPr>
      <w:r>
        <w:rPr>
          <w:rFonts w:hint="eastAsia" w:ascii="宋体" w:hAnsi="宋体" w:cs="宋体"/>
          <w:color w:val="333333"/>
          <w:kern w:val="0"/>
          <w:sz w:val="24"/>
        </w:rPr>
        <w:t>排烟口、送风口有无变形、损伤，周围有无影响使用的障碍物； </w:t>
      </w:r>
    </w:p>
    <w:p>
      <w:pPr>
        <w:keepNext w:val="0"/>
        <w:keepLines w:val="0"/>
        <w:pageBreakBefore w:val="0"/>
        <w:numPr>
          <w:ilvl w:val="0"/>
          <w:numId w:val="9"/>
        </w:numPr>
        <w:kinsoku/>
        <w:overflowPunct/>
        <w:topLinePunct w:val="0"/>
        <w:autoSpaceDE/>
        <w:autoSpaceDN/>
        <w:bidi w:val="0"/>
        <w:adjustRightInd/>
        <w:snapToGrid/>
        <w:spacing w:beforeAutospacing="0" w:afterAutospacing="0" w:line="500" w:lineRule="exact"/>
        <w:textAlignment w:val="auto"/>
        <w:rPr>
          <w:rFonts w:hint="eastAsia" w:ascii="宋体" w:hAnsi="宋体" w:cs="宋体"/>
          <w:color w:val="333333"/>
          <w:kern w:val="0"/>
          <w:sz w:val="24"/>
        </w:rPr>
      </w:pPr>
      <w:r>
        <w:rPr>
          <w:rFonts w:hint="eastAsia" w:ascii="宋体" w:hAnsi="宋体" w:cs="宋体"/>
          <w:color w:val="333333"/>
          <w:kern w:val="0"/>
          <w:sz w:val="24"/>
        </w:rPr>
        <w:t>风管与排烟口连接部位的法兰有无损伤，螺栓是否松动；</w:t>
      </w:r>
    </w:p>
    <w:p>
      <w:pPr>
        <w:keepNext w:val="0"/>
        <w:keepLines w:val="0"/>
        <w:pageBreakBefore w:val="0"/>
        <w:numPr>
          <w:ilvl w:val="0"/>
          <w:numId w:val="9"/>
        </w:numPr>
        <w:kinsoku/>
        <w:overflowPunct/>
        <w:topLinePunct w:val="0"/>
        <w:autoSpaceDE/>
        <w:autoSpaceDN/>
        <w:bidi w:val="0"/>
        <w:adjustRightInd/>
        <w:snapToGrid/>
        <w:spacing w:beforeAutospacing="0" w:afterAutospacing="0" w:line="500" w:lineRule="exact"/>
        <w:textAlignment w:val="auto"/>
        <w:rPr>
          <w:rFonts w:hint="eastAsia" w:ascii="宋体" w:hAnsi="宋体" w:cs="宋体"/>
          <w:color w:val="333333"/>
          <w:kern w:val="0"/>
          <w:sz w:val="24"/>
        </w:rPr>
      </w:pPr>
      <w:r>
        <w:rPr>
          <w:rFonts w:hint="eastAsia" w:ascii="宋体" w:hAnsi="宋体" w:cs="宋体"/>
          <w:color w:val="333333"/>
          <w:kern w:val="0"/>
          <w:sz w:val="24"/>
        </w:rPr>
        <w:t>阀件是否完整，易熔片是否脱落，动作是否正常；</w:t>
      </w:r>
    </w:p>
    <w:p>
      <w:pPr>
        <w:keepNext w:val="0"/>
        <w:keepLines w:val="0"/>
        <w:pageBreakBefore w:val="0"/>
        <w:numPr>
          <w:ilvl w:val="0"/>
          <w:numId w:val="9"/>
        </w:numPr>
        <w:kinsoku/>
        <w:overflowPunct/>
        <w:topLinePunct w:val="0"/>
        <w:autoSpaceDE/>
        <w:autoSpaceDN/>
        <w:bidi w:val="0"/>
        <w:adjustRightInd/>
        <w:snapToGrid/>
        <w:spacing w:beforeAutospacing="0" w:afterAutospacing="0" w:line="500" w:lineRule="exact"/>
        <w:textAlignment w:val="auto"/>
        <w:rPr>
          <w:rFonts w:hint="eastAsia" w:ascii="宋体" w:hAnsi="宋体" w:cs="宋体"/>
          <w:color w:val="333333"/>
          <w:kern w:val="0"/>
          <w:sz w:val="24"/>
        </w:rPr>
      </w:pPr>
      <w:r>
        <w:rPr>
          <w:rFonts w:hint="eastAsia" w:ascii="宋体" w:hAnsi="宋体" w:cs="宋体"/>
          <w:color w:val="333333"/>
          <w:kern w:val="0"/>
          <w:sz w:val="24"/>
        </w:rPr>
        <w:t>旋转机构是否灵活，每年对机械传送机构加适量润滑剂；</w:t>
      </w:r>
    </w:p>
    <w:p>
      <w:pPr>
        <w:keepNext w:val="0"/>
        <w:keepLines w:val="0"/>
        <w:pageBreakBefore w:val="0"/>
        <w:numPr>
          <w:ilvl w:val="0"/>
          <w:numId w:val="9"/>
        </w:numPr>
        <w:kinsoku/>
        <w:overflowPunct/>
        <w:topLinePunct w:val="0"/>
        <w:autoSpaceDE/>
        <w:autoSpaceDN/>
        <w:bidi w:val="0"/>
        <w:adjustRightInd/>
        <w:snapToGrid/>
        <w:spacing w:beforeAutospacing="0" w:afterAutospacing="0" w:line="500" w:lineRule="exact"/>
        <w:textAlignment w:val="auto"/>
        <w:rPr>
          <w:rFonts w:hint="eastAsia" w:ascii="宋体" w:hAnsi="宋体" w:cs="宋体"/>
          <w:color w:val="333333"/>
          <w:kern w:val="0"/>
          <w:sz w:val="24"/>
        </w:rPr>
      </w:pPr>
      <w:r>
        <w:rPr>
          <w:rFonts w:hint="eastAsia" w:ascii="宋体" w:hAnsi="宋体" w:cs="宋体"/>
          <w:color w:val="333333"/>
          <w:kern w:val="0"/>
          <w:sz w:val="24"/>
        </w:rPr>
        <w:t>制动机构、限位器是否符合要求；</w:t>
      </w:r>
    </w:p>
    <w:p>
      <w:pPr>
        <w:keepNext w:val="0"/>
        <w:keepLines w:val="0"/>
        <w:pageBreakBefore w:val="0"/>
        <w:numPr>
          <w:ilvl w:val="0"/>
          <w:numId w:val="9"/>
        </w:numPr>
        <w:kinsoku/>
        <w:overflowPunct/>
        <w:topLinePunct w:val="0"/>
        <w:autoSpaceDE/>
        <w:autoSpaceDN/>
        <w:bidi w:val="0"/>
        <w:adjustRightInd/>
        <w:snapToGrid/>
        <w:spacing w:beforeAutospacing="0" w:afterAutospacing="0" w:line="500" w:lineRule="exact"/>
        <w:textAlignment w:val="auto"/>
        <w:rPr>
          <w:rFonts w:hint="eastAsia" w:ascii="宋体" w:hAnsi="宋体" w:cs="宋体"/>
          <w:color w:val="333333"/>
          <w:kern w:val="0"/>
          <w:sz w:val="24"/>
        </w:rPr>
      </w:pPr>
      <w:r>
        <w:rPr>
          <w:rFonts w:hint="eastAsia" w:ascii="宋体" w:hAnsi="宋体" w:cs="宋体"/>
          <w:color w:val="333333"/>
          <w:kern w:val="0"/>
          <w:sz w:val="24"/>
        </w:rPr>
        <w:t>进行手动、远程启闭操作，检查是否可完全打开.</w:t>
      </w:r>
    </w:p>
    <w:p>
      <w:pPr>
        <w:keepNext w:val="0"/>
        <w:keepLines w:val="0"/>
        <w:pageBreakBefore w:val="0"/>
        <w:numPr>
          <w:ilvl w:val="0"/>
          <w:numId w:val="9"/>
        </w:numPr>
        <w:kinsoku/>
        <w:overflowPunct/>
        <w:topLinePunct w:val="0"/>
        <w:autoSpaceDE/>
        <w:autoSpaceDN/>
        <w:bidi w:val="0"/>
        <w:adjustRightInd/>
        <w:snapToGrid/>
        <w:spacing w:beforeAutospacing="0" w:afterAutospacing="0" w:line="500" w:lineRule="exact"/>
        <w:textAlignment w:val="auto"/>
        <w:rPr>
          <w:rFonts w:hint="eastAsia" w:ascii="宋体" w:hAnsi="宋体" w:cs="宋体"/>
          <w:color w:val="333333"/>
          <w:kern w:val="0"/>
          <w:sz w:val="24"/>
        </w:rPr>
      </w:pPr>
      <w:r>
        <w:rPr>
          <w:rFonts w:hint="eastAsia" w:ascii="宋体" w:hAnsi="宋体" w:cs="宋体"/>
          <w:color w:val="333333"/>
          <w:kern w:val="0"/>
          <w:sz w:val="24"/>
        </w:rPr>
        <w:t>每三个月对阀门进行手动测试，每半年上油保养。</w:t>
      </w:r>
    </w:p>
    <w:p>
      <w:pPr>
        <w:keepNext w:val="0"/>
        <w:keepLines w:val="0"/>
        <w:pageBreakBefore w:val="0"/>
        <w:numPr>
          <w:ilvl w:val="0"/>
          <w:numId w:val="6"/>
        </w:numPr>
        <w:kinsoku/>
        <w:overflowPunct/>
        <w:topLinePunct w:val="0"/>
        <w:autoSpaceDE/>
        <w:autoSpaceDN/>
        <w:bidi w:val="0"/>
        <w:adjustRightInd/>
        <w:snapToGrid/>
        <w:spacing w:beforeAutospacing="0" w:afterAutospacing="0" w:line="500" w:lineRule="exact"/>
        <w:textAlignment w:val="auto"/>
        <w:rPr>
          <w:rFonts w:hint="eastAsia" w:ascii="楷体_GB2312" w:hAnsi="宋体" w:eastAsia="楷体_GB2312" w:cs="宋体"/>
          <w:b/>
          <w:color w:val="333333"/>
          <w:kern w:val="0"/>
          <w:sz w:val="24"/>
        </w:rPr>
      </w:pPr>
      <w:r>
        <w:rPr>
          <w:rFonts w:hint="eastAsia" w:ascii="楷体_GB2312" w:hAnsi="宋体" w:eastAsia="楷体_GB2312" w:cs="宋体"/>
          <w:b/>
          <w:color w:val="333333"/>
          <w:kern w:val="0"/>
          <w:sz w:val="24"/>
        </w:rPr>
        <w:t>对送风、排烟风机的维护保养：</w:t>
      </w:r>
    </w:p>
    <w:p>
      <w:pPr>
        <w:keepNext w:val="0"/>
        <w:keepLines w:val="0"/>
        <w:pageBreakBefore w:val="0"/>
        <w:numPr>
          <w:ilvl w:val="1"/>
          <w:numId w:val="6"/>
        </w:numPr>
        <w:tabs>
          <w:tab w:val="left" w:pos="900"/>
          <w:tab w:val="clear" w:pos="1380"/>
        </w:tabs>
        <w:kinsoku/>
        <w:overflowPunct/>
        <w:topLinePunct w:val="0"/>
        <w:autoSpaceDE/>
        <w:autoSpaceDN/>
        <w:bidi w:val="0"/>
        <w:adjustRightInd/>
        <w:snapToGrid/>
        <w:spacing w:beforeAutospacing="0" w:afterAutospacing="0" w:line="500" w:lineRule="exact"/>
        <w:ind w:hanging="860"/>
        <w:textAlignment w:val="auto"/>
        <w:rPr>
          <w:rFonts w:hint="eastAsia" w:ascii="宋体" w:hAnsi="宋体" w:cs="宋体"/>
          <w:color w:val="333333"/>
          <w:kern w:val="0"/>
          <w:sz w:val="24"/>
        </w:rPr>
      </w:pPr>
      <w:r>
        <w:rPr>
          <w:rFonts w:hint="eastAsia" w:ascii="宋体" w:hAnsi="宋体" w:cs="宋体"/>
          <w:color w:val="333333"/>
          <w:kern w:val="0"/>
          <w:sz w:val="24"/>
        </w:rPr>
        <w:t>风机房周围有无可燃物；安装螺栓是否松动、损伤；</w:t>
      </w:r>
    </w:p>
    <w:p>
      <w:pPr>
        <w:keepNext w:val="0"/>
        <w:keepLines w:val="0"/>
        <w:pageBreakBefore w:val="0"/>
        <w:numPr>
          <w:ilvl w:val="1"/>
          <w:numId w:val="6"/>
        </w:numPr>
        <w:tabs>
          <w:tab w:val="left" w:pos="900"/>
          <w:tab w:val="clear" w:pos="1380"/>
        </w:tabs>
        <w:kinsoku/>
        <w:overflowPunct/>
        <w:topLinePunct w:val="0"/>
        <w:autoSpaceDE/>
        <w:autoSpaceDN/>
        <w:bidi w:val="0"/>
        <w:adjustRightInd/>
        <w:snapToGrid/>
        <w:spacing w:beforeAutospacing="0" w:afterAutospacing="0" w:line="500" w:lineRule="exact"/>
        <w:ind w:hanging="860"/>
        <w:textAlignment w:val="auto"/>
        <w:rPr>
          <w:rFonts w:hint="eastAsia" w:ascii="宋体" w:hAnsi="宋体" w:cs="宋体"/>
          <w:color w:val="333333"/>
          <w:kern w:val="0"/>
          <w:sz w:val="24"/>
        </w:rPr>
      </w:pPr>
      <w:r>
        <w:rPr>
          <w:rFonts w:hint="eastAsia" w:ascii="宋体" w:hAnsi="宋体" w:cs="宋体"/>
          <w:color w:val="333333"/>
          <w:kern w:val="0"/>
          <w:sz w:val="24"/>
        </w:rPr>
        <w:t>传动机构是否变形、损伤；叶轮是否与外壳接触； </w:t>
      </w:r>
    </w:p>
    <w:p>
      <w:pPr>
        <w:keepNext w:val="0"/>
        <w:keepLines w:val="0"/>
        <w:pageBreakBefore w:val="0"/>
        <w:numPr>
          <w:ilvl w:val="1"/>
          <w:numId w:val="6"/>
        </w:numPr>
        <w:tabs>
          <w:tab w:val="left" w:pos="900"/>
          <w:tab w:val="clear" w:pos="1380"/>
        </w:tabs>
        <w:kinsoku/>
        <w:overflowPunct/>
        <w:topLinePunct w:val="0"/>
        <w:autoSpaceDE/>
        <w:autoSpaceDN/>
        <w:bidi w:val="0"/>
        <w:adjustRightInd/>
        <w:snapToGrid/>
        <w:spacing w:beforeAutospacing="0" w:afterAutospacing="0" w:line="500" w:lineRule="exact"/>
        <w:ind w:hanging="860"/>
        <w:textAlignment w:val="auto"/>
        <w:rPr>
          <w:rFonts w:hint="eastAsia" w:ascii="宋体" w:hAnsi="宋体" w:cs="宋体"/>
          <w:color w:val="333333"/>
          <w:kern w:val="0"/>
          <w:sz w:val="24"/>
        </w:rPr>
      </w:pPr>
      <w:r>
        <w:rPr>
          <w:rFonts w:hint="eastAsia" w:ascii="宋体" w:hAnsi="宋体" w:cs="宋体"/>
          <w:color w:val="333333"/>
          <w:kern w:val="0"/>
          <w:sz w:val="24"/>
        </w:rPr>
        <w:t>电动机的接线是否松动；电动机的外壳有无腐蚀现象；</w:t>
      </w:r>
    </w:p>
    <w:p>
      <w:pPr>
        <w:keepNext w:val="0"/>
        <w:keepLines w:val="0"/>
        <w:pageBreakBefore w:val="0"/>
        <w:numPr>
          <w:ilvl w:val="1"/>
          <w:numId w:val="6"/>
        </w:numPr>
        <w:tabs>
          <w:tab w:val="left" w:pos="900"/>
          <w:tab w:val="clear" w:pos="1380"/>
        </w:tabs>
        <w:kinsoku/>
        <w:overflowPunct/>
        <w:topLinePunct w:val="0"/>
        <w:autoSpaceDE/>
        <w:autoSpaceDN/>
        <w:bidi w:val="0"/>
        <w:adjustRightInd/>
        <w:snapToGrid/>
        <w:spacing w:beforeAutospacing="0" w:afterAutospacing="0" w:line="500" w:lineRule="exact"/>
        <w:ind w:hanging="860"/>
        <w:textAlignment w:val="auto"/>
        <w:rPr>
          <w:rFonts w:hint="eastAsia" w:ascii="宋体" w:hAnsi="宋体" w:cs="宋体"/>
          <w:color w:val="333333"/>
          <w:kern w:val="0"/>
          <w:sz w:val="24"/>
        </w:rPr>
      </w:pPr>
      <w:r>
        <w:rPr>
          <w:rFonts w:hint="eastAsia" w:ascii="宋体" w:hAnsi="宋体" w:cs="宋体"/>
          <w:color w:val="333333"/>
          <w:kern w:val="0"/>
          <w:sz w:val="24"/>
        </w:rPr>
        <w:t>电源供电是否正常（检查电压表或电源指示灯）。</w:t>
      </w:r>
    </w:p>
    <w:p>
      <w:pPr>
        <w:keepNext w:val="0"/>
        <w:keepLines w:val="0"/>
        <w:pageBreakBefore w:val="0"/>
        <w:numPr>
          <w:ilvl w:val="1"/>
          <w:numId w:val="6"/>
        </w:numPr>
        <w:tabs>
          <w:tab w:val="left" w:pos="900"/>
          <w:tab w:val="clear" w:pos="1380"/>
        </w:tabs>
        <w:kinsoku/>
        <w:overflowPunct/>
        <w:topLinePunct w:val="0"/>
        <w:autoSpaceDE/>
        <w:autoSpaceDN/>
        <w:bidi w:val="0"/>
        <w:adjustRightInd/>
        <w:snapToGrid/>
        <w:spacing w:beforeAutospacing="0" w:afterAutospacing="0" w:line="500" w:lineRule="exact"/>
        <w:ind w:hanging="860"/>
        <w:textAlignment w:val="auto"/>
        <w:rPr>
          <w:rFonts w:hint="eastAsia" w:ascii="宋体" w:hAnsi="宋体" w:cs="宋体"/>
          <w:color w:val="333333"/>
          <w:kern w:val="0"/>
          <w:sz w:val="24"/>
        </w:rPr>
      </w:pPr>
      <w:r>
        <w:rPr>
          <w:rFonts w:hint="eastAsia" w:ascii="宋体" w:hAnsi="宋体" w:cs="宋体"/>
          <w:color w:val="333333"/>
          <w:kern w:val="0"/>
          <w:sz w:val="24"/>
        </w:rPr>
        <w:t>检查轴承部分润滑油状态是否异常（脏污、混入泥沙、尘等）；</w:t>
      </w:r>
    </w:p>
    <w:p>
      <w:pPr>
        <w:keepNext w:val="0"/>
        <w:keepLines w:val="0"/>
        <w:pageBreakBefore w:val="0"/>
        <w:numPr>
          <w:ilvl w:val="1"/>
          <w:numId w:val="6"/>
        </w:numPr>
        <w:tabs>
          <w:tab w:val="left" w:pos="900"/>
          <w:tab w:val="clear" w:pos="1380"/>
        </w:tabs>
        <w:kinsoku/>
        <w:overflowPunct/>
        <w:topLinePunct w:val="0"/>
        <w:autoSpaceDE/>
        <w:autoSpaceDN/>
        <w:bidi w:val="0"/>
        <w:adjustRightInd/>
        <w:snapToGrid/>
        <w:spacing w:beforeAutospacing="0" w:afterAutospacing="0" w:line="500" w:lineRule="exact"/>
        <w:ind w:hanging="860"/>
        <w:textAlignment w:val="auto"/>
        <w:rPr>
          <w:rFonts w:hint="eastAsia" w:ascii="宋体" w:hAnsi="宋体" w:cs="宋体"/>
          <w:color w:val="333333"/>
          <w:kern w:val="0"/>
          <w:sz w:val="24"/>
        </w:rPr>
      </w:pPr>
      <w:r>
        <w:rPr>
          <w:rFonts w:hint="eastAsia" w:ascii="宋体" w:hAnsi="宋体" w:cs="宋体"/>
          <w:color w:val="333333"/>
          <w:kern w:val="0"/>
          <w:sz w:val="24"/>
        </w:rPr>
        <w:t>检查电动机的轴承部位润滑油液位是否正常；</w:t>
      </w:r>
    </w:p>
    <w:p>
      <w:pPr>
        <w:keepNext w:val="0"/>
        <w:keepLines w:val="0"/>
        <w:pageBreakBefore w:val="0"/>
        <w:numPr>
          <w:ilvl w:val="1"/>
          <w:numId w:val="6"/>
        </w:numPr>
        <w:tabs>
          <w:tab w:val="left" w:pos="900"/>
          <w:tab w:val="clear" w:pos="1380"/>
        </w:tabs>
        <w:kinsoku/>
        <w:overflowPunct/>
        <w:topLinePunct w:val="0"/>
        <w:autoSpaceDE/>
        <w:autoSpaceDN/>
        <w:bidi w:val="0"/>
        <w:adjustRightInd/>
        <w:snapToGrid/>
        <w:spacing w:beforeAutospacing="0" w:afterAutospacing="0" w:line="500" w:lineRule="exact"/>
        <w:ind w:hanging="860"/>
        <w:textAlignment w:val="auto"/>
        <w:rPr>
          <w:rFonts w:hint="eastAsia" w:ascii="宋体" w:hAnsi="宋体" w:cs="宋体"/>
          <w:color w:val="333333"/>
          <w:kern w:val="0"/>
          <w:sz w:val="24"/>
        </w:rPr>
      </w:pPr>
      <w:r>
        <w:rPr>
          <w:rFonts w:hint="eastAsia" w:ascii="宋体" w:hAnsi="宋体" w:cs="宋体"/>
          <w:color w:val="333333"/>
          <w:kern w:val="0"/>
          <w:sz w:val="24"/>
        </w:rPr>
        <w:t>检查传动皮带是否松动，联轴器是否牢固；</w:t>
      </w:r>
    </w:p>
    <w:p>
      <w:pPr>
        <w:keepNext w:val="0"/>
        <w:keepLines w:val="0"/>
        <w:pageBreakBefore w:val="0"/>
        <w:numPr>
          <w:ilvl w:val="1"/>
          <w:numId w:val="6"/>
        </w:numPr>
        <w:tabs>
          <w:tab w:val="left" w:pos="900"/>
          <w:tab w:val="clear" w:pos="1380"/>
        </w:tabs>
        <w:kinsoku/>
        <w:overflowPunct/>
        <w:topLinePunct w:val="0"/>
        <w:autoSpaceDE/>
        <w:autoSpaceDN/>
        <w:bidi w:val="0"/>
        <w:adjustRightInd/>
        <w:snapToGrid/>
        <w:spacing w:beforeAutospacing="0" w:afterAutospacing="0" w:line="500" w:lineRule="exact"/>
        <w:ind w:hanging="860"/>
        <w:textAlignment w:val="auto"/>
        <w:rPr>
          <w:rFonts w:hint="eastAsia" w:ascii="宋体" w:hAnsi="宋体" w:cs="宋体"/>
          <w:color w:val="333333"/>
          <w:kern w:val="0"/>
          <w:sz w:val="24"/>
        </w:rPr>
      </w:pPr>
      <w:r>
        <w:rPr>
          <w:rFonts w:hint="eastAsia" w:ascii="宋体" w:hAnsi="宋体" w:cs="宋体"/>
          <w:color w:val="333333"/>
          <w:kern w:val="0"/>
          <w:sz w:val="24"/>
        </w:rPr>
        <w:t>启动电动机，旋转时有无异常振动、杂音。 </w:t>
      </w:r>
    </w:p>
    <w:p>
      <w:pPr>
        <w:keepNext w:val="0"/>
        <w:keepLines w:val="0"/>
        <w:pageBreakBefore w:val="0"/>
        <w:numPr>
          <w:ilvl w:val="1"/>
          <w:numId w:val="6"/>
        </w:numPr>
        <w:tabs>
          <w:tab w:val="left" w:pos="900"/>
          <w:tab w:val="clear" w:pos="1380"/>
        </w:tabs>
        <w:kinsoku/>
        <w:overflowPunct/>
        <w:topLinePunct w:val="0"/>
        <w:autoSpaceDE/>
        <w:autoSpaceDN/>
        <w:bidi w:val="0"/>
        <w:adjustRightInd/>
        <w:snapToGrid/>
        <w:spacing w:beforeAutospacing="0" w:afterAutospacing="0" w:line="500" w:lineRule="exact"/>
        <w:ind w:left="900" w:hanging="360"/>
        <w:textAlignment w:val="auto"/>
        <w:rPr>
          <w:rFonts w:hint="eastAsia" w:ascii="宋体" w:hAnsi="宋体" w:cs="宋体"/>
          <w:color w:val="333333"/>
          <w:kern w:val="0"/>
          <w:sz w:val="24"/>
        </w:rPr>
      </w:pPr>
      <w:r>
        <w:rPr>
          <w:rFonts w:hint="eastAsia" w:ascii="宋体" w:hAnsi="宋体" w:cs="宋体"/>
          <w:color w:val="333333"/>
          <w:kern w:val="0"/>
          <w:sz w:val="24"/>
        </w:rPr>
        <w:t>操作手动或自动启动装置，进行每个防烟分区（或正压送风）的动作试验，检查下列事项：</w:t>
      </w:r>
    </w:p>
    <w:p>
      <w:pPr>
        <w:keepNext w:val="0"/>
        <w:keepLines w:val="0"/>
        <w:pageBreakBefore w:val="0"/>
        <w:numPr>
          <w:ilvl w:val="0"/>
          <w:numId w:val="10"/>
        </w:numPr>
        <w:kinsoku/>
        <w:overflowPunct/>
        <w:topLinePunct w:val="0"/>
        <w:autoSpaceDE/>
        <w:autoSpaceDN/>
        <w:bidi w:val="0"/>
        <w:adjustRightInd/>
        <w:snapToGrid/>
        <w:spacing w:beforeAutospacing="0" w:afterAutospacing="0" w:line="500" w:lineRule="exact"/>
        <w:ind w:firstLine="60"/>
        <w:textAlignment w:val="auto"/>
        <w:rPr>
          <w:rFonts w:hint="eastAsia" w:ascii="宋体" w:hAnsi="宋体" w:cs="宋体"/>
          <w:color w:val="333333"/>
          <w:kern w:val="0"/>
          <w:sz w:val="24"/>
        </w:rPr>
      </w:pPr>
      <w:r>
        <w:rPr>
          <w:rFonts w:hint="eastAsia" w:ascii="宋体" w:hAnsi="宋体" w:cs="宋体"/>
          <w:color w:val="333333"/>
          <w:kern w:val="0"/>
          <w:sz w:val="24"/>
        </w:rPr>
        <w:t>手动或自动能否正常启动；</w:t>
      </w:r>
    </w:p>
    <w:p>
      <w:pPr>
        <w:keepNext w:val="0"/>
        <w:keepLines w:val="0"/>
        <w:pageBreakBefore w:val="0"/>
        <w:numPr>
          <w:ilvl w:val="0"/>
          <w:numId w:val="10"/>
        </w:numPr>
        <w:kinsoku/>
        <w:overflowPunct/>
        <w:topLinePunct w:val="0"/>
        <w:autoSpaceDE/>
        <w:autoSpaceDN/>
        <w:bidi w:val="0"/>
        <w:adjustRightInd/>
        <w:snapToGrid/>
        <w:spacing w:beforeAutospacing="0" w:afterAutospacing="0" w:line="500" w:lineRule="exact"/>
        <w:ind w:firstLine="60"/>
        <w:textAlignment w:val="auto"/>
        <w:rPr>
          <w:rFonts w:hint="eastAsia" w:ascii="宋体" w:hAnsi="宋体" w:cs="宋体"/>
          <w:color w:val="333333"/>
          <w:kern w:val="0"/>
          <w:sz w:val="24"/>
        </w:rPr>
      </w:pPr>
      <w:r>
        <w:rPr>
          <w:rFonts w:hint="eastAsia" w:ascii="宋体" w:hAnsi="宋体" w:cs="宋体"/>
          <w:color w:val="333333"/>
          <w:kern w:val="0"/>
          <w:sz w:val="24"/>
        </w:rPr>
        <w:t>运转电流是否正常；</w:t>
      </w:r>
    </w:p>
    <w:p>
      <w:pPr>
        <w:keepNext w:val="0"/>
        <w:keepLines w:val="0"/>
        <w:pageBreakBefore w:val="0"/>
        <w:numPr>
          <w:ilvl w:val="0"/>
          <w:numId w:val="10"/>
        </w:numPr>
        <w:kinsoku/>
        <w:overflowPunct/>
        <w:topLinePunct w:val="0"/>
        <w:autoSpaceDE/>
        <w:autoSpaceDN/>
        <w:bidi w:val="0"/>
        <w:adjustRightInd/>
        <w:snapToGrid/>
        <w:spacing w:beforeAutospacing="0" w:afterAutospacing="0" w:line="500" w:lineRule="exact"/>
        <w:ind w:firstLine="60"/>
        <w:textAlignment w:val="auto"/>
        <w:rPr>
          <w:rFonts w:hint="eastAsia" w:ascii="宋体" w:hAnsi="宋体" w:cs="宋体"/>
          <w:color w:val="333333"/>
          <w:kern w:val="0"/>
          <w:sz w:val="24"/>
        </w:rPr>
      </w:pPr>
      <w:r>
        <w:rPr>
          <w:rFonts w:hint="eastAsia" w:ascii="宋体" w:hAnsi="宋体" w:cs="宋体"/>
          <w:color w:val="333333"/>
          <w:kern w:val="0"/>
          <w:sz w:val="24"/>
        </w:rPr>
        <w:t>运转中是否有不规则杂音及异常振动；</w:t>
      </w:r>
    </w:p>
    <w:p>
      <w:pPr>
        <w:keepNext w:val="0"/>
        <w:keepLines w:val="0"/>
        <w:pageBreakBefore w:val="0"/>
        <w:numPr>
          <w:ilvl w:val="0"/>
          <w:numId w:val="10"/>
        </w:numPr>
        <w:kinsoku/>
        <w:overflowPunct/>
        <w:topLinePunct w:val="0"/>
        <w:autoSpaceDE/>
        <w:autoSpaceDN/>
        <w:bidi w:val="0"/>
        <w:adjustRightInd/>
        <w:snapToGrid/>
        <w:spacing w:beforeAutospacing="0" w:afterAutospacing="0" w:line="500" w:lineRule="exact"/>
        <w:ind w:firstLine="60"/>
        <w:textAlignment w:val="auto"/>
        <w:rPr>
          <w:rFonts w:hint="eastAsia" w:ascii="宋体" w:hAnsi="宋体" w:cs="宋体"/>
          <w:color w:val="333333"/>
          <w:kern w:val="0"/>
          <w:sz w:val="24"/>
        </w:rPr>
      </w:pPr>
      <w:r>
        <w:rPr>
          <w:rFonts w:hint="eastAsia" w:ascii="宋体" w:hAnsi="宋体" w:cs="宋体"/>
          <w:color w:val="333333"/>
          <w:kern w:val="0"/>
          <w:sz w:val="24"/>
        </w:rPr>
        <w:t>动作设备的区域是否与原设计对应。 </w:t>
      </w:r>
    </w:p>
    <w:p>
      <w:pPr>
        <w:keepNext w:val="0"/>
        <w:keepLines w:val="0"/>
        <w:pageBreakBefore w:val="0"/>
        <w:numPr>
          <w:ilvl w:val="1"/>
          <w:numId w:val="6"/>
        </w:numPr>
        <w:tabs>
          <w:tab w:val="left" w:pos="900"/>
          <w:tab w:val="clear" w:pos="1380"/>
        </w:tabs>
        <w:kinsoku/>
        <w:overflowPunct/>
        <w:topLinePunct w:val="0"/>
        <w:autoSpaceDE/>
        <w:autoSpaceDN/>
        <w:bidi w:val="0"/>
        <w:adjustRightInd/>
        <w:snapToGrid/>
        <w:spacing w:beforeAutospacing="0" w:afterAutospacing="0" w:line="500" w:lineRule="exact"/>
        <w:ind w:left="900" w:hanging="360"/>
        <w:textAlignment w:val="auto"/>
        <w:rPr>
          <w:rFonts w:hint="eastAsia" w:ascii="宋体" w:hAnsi="宋体" w:cs="宋体"/>
          <w:color w:val="333333"/>
          <w:kern w:val="0"/>
          <w:sz w:val="24"/>
        </w:rPr>
      </w:pPr>
      <w:r>
        <w:rPr>
          <w:rFonts w:hint="eastAsia" w:ascii="宋体" w:hAnsi="宋体" w:cs="宋体"/>
          <w:color w:val="333333"/>
          <w:kern w:val="0"/>
          <w:sz w:val="24"/>
        </w:rPr>
        <w:t>对风机电柜的维护保养：</w:t>
      </w:r>
    </w:p>
    <w:p>
      <w:pPr>
        <w:keepNext w:val="0"/>
        <w:keepLines w:val="0"/>
        <w:pageBreakBefore w:val="0"/>
        <w:numPr>
          <w:ilvl w:val="0"/>
          <w:numId w:val="11"/>
        </w:numPr>
        <w:kinsoku/>
        <w:overflowPunct/>
        <w:topLinePunct w:val="0"/>
        <w:autoSpaceDE/>
        <w:autoSpaceDN/>
        <w:bidi w:val="0"/>
        <w:adjustRightInd/>
        <w:snapToGrid/>
        <w:spacing w:beforeAutospacing="0" w:afterAutospacing="0" w:line="500" w:lineRule="exact"/>
        <w:ind w:firstLine="60"/>
        <w:textAlignment w:val="auto"/>
        <w:rPr>
          <w:rFonts w:hint="eastAsia" w:ascii="宋体" w:hAnsi="宋体" w:cs="宋体"/>
          <w:color w:val="333333"/>
          <w:kern w:val="0"/>
          <w:sz w:val="24"/>
        </w:rPr>
      </w:pPr>
      <w:r>
        <w:rPr>
          <w:rFonts w:hint="eastAsia" w:ascii="宋体" w:hAnsi="宋体" w:cs="宋体"/>
          <w:color w:val="333333"/>
          <w:kern w:val="0"/>
          <w:sz w:val="24"/>
        </w:rPr>
        <w:t>控制柜是否设置在易于操作、检查、维修方便的位置。</w:t>
      </w:r>
    </w:p>
    <w:p>
      <w:pPr>
        <w:keepNext w:val="0"/>
        <w:keepLines w:val="0"/>
        <w:pageBreakBefore w:val="0"/>
        <w:numPr>
          <w:ilvl w:val="0"/>
          <w:numId w:val="11"/>
        </w:numPr>
        <w:kinsoku/>
        <w:overflowPunct/>
        <w:topLinePunct w:val="0"/>
        <w:autoSpaceDE/>
        <w:autoSpaceDN/>
        <w:bidi w:val="0"/>
        <w:adjustRightInd/>
        <w:snapToGrid/>
        <w:spacing w:beforeAutospacing="0" w:afterAutospacing="0" w:line="500" w:lineRule="exact"/>
        <w:ind w:firstLine="60"/>
        <w:textAlignment w:val="auto"/>
        <w:rPr>
          <w:rFonts w:hint="eastAsia" w:ascii="宋体" w:hAnsi="宋体" w:cs="宋体"/>
          <w:color w:val="333333"/>
          <w:kern w:val="0"/>
          <w:sz w:val="24"/>
        </w:rPr>
      </w:pPr>
      <w:r>
        <w:rPr>
          <w:rFonts w:hint="eastAsia" w:ascii="宋体" w:hAnsi="宋体" w:cs="宋体"/>
          <w:color w:val="333333"/>
          <w:kern w:val="0"/>
          <w:sz w:val="24"/>
        </w:rPr>
        <w:t>控制柜有无变形、损伤、腐蚀。</w:t>
      </w:r>
    </w:p>
    <w:p>
      <w:pPr>
        <w:keepNext w:val="0"/>
        <w:keepLines w:val="0"/>
        <w:pageBreakBefore w:val="0"/>
        <w:numPr>
          <w:ilvl w:val="0"/>
          <w:numId w:val="11"/>
        </w:numPr>
        <w:kinsoku/>
        <w:overflowPunct/>
        <w:topLinePunct w:val="0"/>
        <w:autoSpaceDE/>
        <w:autoSpaceDN/>
        <w:bidi w:val="0"/>
        <w:adjustRightInd/>
        <w:snapToGrid/>
        <w:spacing w:beforeAutospacing="0" w:afterAutospacing="0" w:line="500" w:lineRule="exact"/>
        <w:ind w:firstLine="60"/>
        <w:textAlignment w:val="auto"/>
        <w:rPr>
          <w:rFonts w:hint="eastAsia" w:ascii="宋体" w:hAnsi="宋体" w:cs="宋体"/>
          <w:color w:val="333333"/>
          <w:kern w:val="0"/>
          <w:sz w:val="24"/>
        </w:rPr>
      </w:pPr>
      <w:r>
        <w:rPr>
          <w:rFonts w:hint="eastAsia" w:ascii="宋体" w:hAnsi="宋体" w:cs="宋体"/>
          <w:color w:val="333333"/>
          <w:kern w:val="0"/>
          <w:sz w:val="24"/>
        </w:rPr>
        <w:t>线路图及操作说明是否齐全。</w:t>
      </w:r>
    </w:p>
    <w:p>
      <w:pPr>
        <w:keepNext w:val="0"/>
        <w:keepLines w:val="0"/>
        <w:pageBreakBefore w:val="0"/>
        <w:numPr>
          <w:ilvl w:val="0"/>
          <w:numId w:val="11"/>
        </w:numPr>
        <w:kinsoku/>
        <w:overflowPunct/>
        <w:topLinePunct w:val="0"/>
        <w:autoSpaceDE/>
        <w:autoSpaceDN/>
        <w:bidi w:val="0"/>
        <w:adjustRightInd/>
        <w:snapToGrid/>
        <w:spacing w:beforeAutospacing="0" w:afterAutospacing="0" w:line="500" w:lineRule="exact"/>
        <w:ind w:firstLine="60"/>
        <w:textAlignment w:val="auto"/>
        <w:rPr>
          <w:rFonts w:hint="eastAsia" w:ascii="宋体" w:hAnsi="宋体" w:cs="宋体"/>
          <w:color w:val="333333"/>
          <w:kern w:val="0"/>
          <w:sz w:val="24"/>
        </w:rPr>
      </w:pPr>
      <w:r>
        <w:rPr>
          <w:rFonts w:hint="eastAsia" w:ascii="宋体" w:hAnsi="宋体" w:cs="宋体"/>
          <w:color w:val="333333"/>
          <w:kern w:val="0"/>
          <w:sz w:val="24"/>
        </w:rPr>
        <w:t>电压、电流表的指针是否在规定的范围内。</w:t>
      </w:r>
    </w:p>
    <w:p>
      <w:pPr>
        <w:keepNext w:val="0"/>
        <w:keepLines w:val="0"/>
        <w:pageBreakBefore w:val="0"/>
        <w:numPr>
          <w:ilvl w:val="0"/>
          <w:numId w:val="11"/>
        </w:numPr>
        <w:kinsoku/>
        <w:overflowPunct/>
        <w:topLinePunct w:val="0"/>
        <w:autoSpaceDE/>
        <w:autoSpaceDN/>
        <w:bidi w:val="0"/>
        <w:adjustRightInd/>
        <w:snapToGrid/>
        <w:spacing w:beforeAutospacing="0" w:afterAutospacing="0" w:line="500" w:lineRule="exact"/>
        <w:ind w:firstLine="60"/>
        <w:textAlignment w:val="auto"/>
        <w:rPr>
          <w:rFonts w:hint="eastAsia" w:ascii="宋体" w:hAnsi="宋体" w:cs="宋体"/>
          <w:color w:val="333333"/>
          <w:kern w:val="0"/>
          <w:sz w:val="24"/>
        </w:rPr>
      </w:pPr>
      <w:r>
        <w:rPr>
          <w:rFonts w:hint="eastAsia" w:ascii="宋体" w:hAnsi="宋体" w:cs="宋体"/>
          <w:color w:val="333333"/>
          <w:kern w:val="0"/>
          <w:sz w:val="24"/>
        </w:rPr>
        <w:t>开关是否有变形、损伤、标志脱落、处于正常状态。</w:t>
      </w:r>
    </w:p>
    <w:p>
      <w:pPr>
        <w:keepNext w:val="0"/>
        <w:keepLines w:val="0"/>
        <w:pageBreakBefore w:val="0"/>
        <w:numPr>
          <w:ilvl w:val="0"/>
          <w:numId w:val="11"/>
        </w:numPr>
        <w:kinsoku/>
        <w:overflowPunct/>
        <w:topLinePunct w:val="0"/>
        <w:autoSpaceDE/>
        <w:autoSpaceDN/>
        <w:bidi w:val="0"/>
        <w:adjustRightInd/>
        <w:snapToGrid/>
        <w:spacing w:beforeAutospacing="0" w:afterAutospacing="0" w:line="500" w:lineRule="exact"/>
        <w:ind w:firstLine="60"/>
        <w:textAlignment w:val="auto"/>
        <w:rPr>
          <w:rFonts w:hint="eastAsia" w:ascii="宋体" w:hAnsi="宋体" w:cs="宋体"/>
          <w:color w:val="333333"/>
          <w:kern w:val="0"/>
          <w:sz w:val="24"/>
        </w:rPr>
      </w:pPr>
      <w:r>
        <w:rPr>
          <w:rFonts w:hint="eastAsia" w:ascii="宋体" w:hAnsi="宋体" w:cs="宋体"/>
          <w:color w:val="333333"/>
          <w:kern w:val="0"/>
          <w:sz w:val="24"/>
        </w:rPr>
        <w:t>操作开关，检查开关性能，检查指示灯显示状态是否正常。</w:t>
      </w:r>
    </w:p>
    <w:p>
      <w:pPr>
        <w:keepNext w:val="0"/>
        <w:keepLines w:val="0"/>
        <w:pageBreakBefore w:val="0"/>
        <w:numPr>
          <w:ilvl w:val="0"/>
          <w:numId w:val="11"/>
        </w:numPr>
        <w:kinsoku/>
        <w:overflowPunct/>
        <w:topLinePunct w:val="0"/>
        <w:autoSpaceDE/>
        <w:autoSpaceDN/>
        <w:bidi w:val="0"/>
        <w:adjustRightInd/>
        <w:snapToGrid/>
        <w:spacing w:beforeAutospacing="0" w:afterAutospacing="0" w:line="500" w:lineRule="exact"/>
        <w:ind w:firstLine="60"/>
        <w:textAlignment w:val="auto"/>
        <w:rPr>
          <w:rFonts w:hint="eastAsia" w:ascii="宋体" w:hAnsi="宋体" w:cs="宋体"/>
          <w:color w:val="333333"/>
          <w:kern w:val="0"/>
          <w:sz w:val="24"/>
        </w:rPr>
      </w:pPr>
      <w:r>
        <w:rPr>
          <w:rFonts w:hint="eastAsia" w:ascii="宋体" w:hAnsi="宋体" w:cs="宋体"/>
          <w:color w:val="333333"/>
          <w:kern w:val="0"/>
          <w:sz w:val="24"/>
        </w:rPr>
        <w:t>继电器是否脱落、松动，接点是否烧损，转换开关能否正常切换。</w:t>
      </w:r>
    </w:p>
    <w:p>
      <w:pPr>
        <w:keepNext w:val="0"/>
        <w:keepLines w:val="0"/>
        <w:pageBreakBefore w:val="0"/>
        <w:numPr>
          <w:ilvl w:val="1"/>
          <w:numId w:val="6"/>
        </w:numPr>
        <w:tabs>
          <w:tab w:val="left" w:pos="900"/>
          <w:tab w:val="clear" w:pos="1380"/>
        </w:tabs>
        <w:kinsoku/>
        <w:overflowPunct/>
        <w:topLinePunct w:val="0"/>
        <w:autoSpaceDE/>
        <w:autoSpaceDN/>
        <w:bidi w:val="0"/>
        <w:adjustRightInd/>
        <w:snapToGrid/>
        <w:spacing w:beforeAutospacing="0" w:afterAutospacing="0" w:line="500" w:lineRule="exact"/>
        <w:ind w:left="900" w:hanging="360"/>
        <w:textAlignment w:val="auto"/>
        <w:rPr>
          <w:rFonts w:hint="eastAsia" w:ascii="宋体" w:hAnsi="宋体" w:cs="宋体"/>
          <w:color w:val="333333"/>
          <w:kern w:val="0"/>
          <w:sz w:val="24"/>
        </w:rPr>
      </w:pPr>
      <w:r>
        <w:rPr>
          <w:rFonts w:hint="eastAsia" w:ascii="宋体" w:hAnsi="宋体" w:cs="宋体"/>
          <w:color w:val="333333"/>
          <w:kern w:val="0"/>
          <w:sz w:val="24"/>
        </w:rPr>
        <w:t>出具《月检查报告书》。</w:t>
      </w:r>
    </w:p>
    <w:p>
      <w:pPr>
        <w:keepNext w:val="0"/>
        <w:keepLines w:val="0"/>
        <w:pageBreakBefore w:val="0"/>
        <w:numPr>
          <w:ilvl w:val="0"/>
          <w:numId w:val="12"/>
        </w:numPr>
        <w:kinsoku/>
        <w:overflowPunct/>
        <w:topLinePunct w:val="0"/>
        <w:autoSpaceDE/>
        <w:autoSpaceDN/>
        <w:bidi w:val="0"/>
        <w:adjustRightInd/>
        <w:snapToGrid/>
        <w:spacing w:beforeAutospacing="0" w:afterAutospacing="0" w:line="500" w:lineRule="exact"/>
        <w:textAlignment w:val="auto"/>
        <w:rPr>
          <w:rFonts w:hint="eastAsia" w:ascii="宋体" w:hAnsi="宋体" w:cs="宋体"/>
          <w:color w:val="333333"/>
          <w:kern w:val="0"/>
          <w:sz w:val="24"/>
        </w:rPr>
      </w:pPr>
      <w:r>
        <w:rPr>
          <w:rFonts w:hint="eastAsia" w:ascii="宋体" w:hAnsi="宋体" w:cs="宋体"/>
          <w:b/>
          <w:color w:val="333333"/>
          <w:kern w:val="0"/>
          <w:sz w:val="24"/>
        </w:rPr>
        <w:t>季巡检规定</w:t>
      </w:r>
      <w:r>
        <w:rPr>
          <w:rFonts w:hint="eastAsia" w:ascii="宋体" w:hAnsi="宋体" w:cs="宋体"/>
          <w:color w:val="333333"/>
          <w:kern w:val="0"/>
          <w:sz w:val="24"/>
        </w:rPr>
        <w:t>：每季进行一次巡检。维护保养细则如下：</w:t>
      </w:r>
    </w:p>
    <w:p>
      <w:pPr>
        <w:keepNext w:val="0"/>
        <w:keepLines w:val="0"/>
        <w:pageBreakBefore w:val="0"/>
        <w:kinsoku/>
        <w:overflowPunct/>
        <w:topLinePunct w:val="0"/>
        <w:autoSpaceDE/>
        <w:autoSpaceDN/>
        <w:bidi w:val="0"/>
        <w:adjustRightInd/>
        <w:snapToGrid/>
        <w:spacing w:beforeAutospacing="0" w:afterAutospacing="0" w:line="500" w:lineRule="exact"/>
        <w:ind w:left="540" w:leftChars="257" w:firstLine="360" w:firstLineChars="150"/>
        <w:textAlignment w:val="auto"/>
        <w:rPr>
          <w:rFonts w:hint="eastAsia" w:ascii="宋体" w:hAnsi="宋体" w:cs="宋体"/>
          <w:color w:val="333333"/>
          <w:kern w:val="0"/>
          <w:sz w:val="24"/>
        </w:rPr>
      </w:pPr>
      <w:r>
        <w:rPr>
          <w:rFonts w:hint="eastAsia" w:ascii="宋体" w:hAnsi="宋体" w:cs="宋体"/>
          <w:color w:val="333333"/>
          <w:kern w:val="0"/>
          <w:sz w:val="24"/>
        </w:rPr>
        <w:t>每季度巡检除月检内容外还应重点检查消控室、水泵房、风机房内设备的运行状态，动作情况：</w:t>
      </w:r>
    </w:p>
    <w:p>
      <w:pPr>
        <w:keepNext w:val="0"/>
        <w:keepLines w:val="0"/>
        <w:pageBreakBefore w:val="0"/>
        <w:numPr>
          <w:ilvl w:val="0"/>
          <w:numId w:val="13"/>
        </w:numPr>
        <w:kinsoku/>
        <w:overflowPunct/>
        <w:topLinePunct w:val="0"/>
        <w:autoSpaceDE/>
        <w:autoSpaceDN/>
        <w:bidi w:val="0"/>
        <w:adjustRightInd/>
        <w:snapToGrid/>
        <w:spacing w:beforeAutospacing="0" w:afterAutospacing="0" w:line="500" w:lineRule="exact"/>
        <w:textAlignment w:val="auto"/>
        <w:rPr>
          <w:rFonts w:hint="eastAsia" w:ascii="宋体" w:hAnsi="宋体" w:cs="宋体"/>
          <w:color w:val="333333"/>
          <w:kern w:val="0"/>
          <w:sz w:val="24"/>
        </w:rPr>
      </w:pPr>
      <w:r>
        <w:rPr>
          <w:rFonts w:hint="eastAsia" w:ascii="宋体" w:hAnsi="宋体" w:cs="宋体"/>
          <w:color w:val="333333"/>
          <w:kern w:val="0"/>
          <w:sz w:val="24"/>
        </w:rPr>
        <w:t>消控主机双电源互投，主备电切换；</w:t>
      </w:r>
    </w:p>
    <w:p>
      <w:pPr>
        <w:keepNext w:val="0"/>
        <w:keepLines w:val="0"/>
        <w:pageBreakBefore w:val="0"/>
        <w:numPr>
          <w:ilvl w:val="0"/>
          <w:numId w:val="13"/>
        </w:numPr>
        <w:kinsoku/>
        <w:overflowPunct/>
        <w:topLinePunct w:val="0"/>
        <w:autoSpaceDE/>
        <w:autoSpaceDN/>
        <w:bidi w:val="0"/>
        <w:adjustRightInd/>
        <w:snapToGrid/>
        <w:spacing w:beforeAutospacing="0" w:afterAutospacing="0" w:line="500" w:lineRule="exact"/>
        <w:textAlignment w:val="auto"/>
        <w:rPr>
          <w:rFonts w:hint="eastAsia" w:ascii="宋体" w:hAnsi="宋体" w:cs="宋体"/>
          <w:color w:val="333333"/>
          <w:kern w:val="0"/>
          <w:sz w:val="24"/>
        </w:rPr>
      </w:pPr>
      <w:r>
        <w:rPr>
          <w:rFonts w:hint="eastAsia" w:ascii="宋体" w:hAnsi="宋体" w:cs="宋体"/>
          <w:color w:val="333333"/>
          <w:kern w:val="0"/>
          <w:sz w:val="24"/>
        </w:rPr>
        <w:t>消防水泵常用泵和备用泵故障自动切换；</w:t>
      </w:r>
    </w:p>
    <w:p>
      <w:pPr>
        <w:keepNext w:val="0"/>
        <w:keepLines w:val="0"/>
        <w:pageBreakBefore w:val="0"/>
        <w:numPr>
          <w:ilvl w:val="0"/>
          <w:numId w:val="13"/>
        </w:numPr>
        <w:kinsoku/>
        <w:overflowPunct/>
        <w:topLinePunct w:val="0"/>
        <w:autoSpaceDE/>
        <w:autoSpaceDN/>
        <w:bidi w:val="0"/>
        <w:adjustRightInd/>
        <w:snapToGrid/>
        <w:spacing w:beforeAutospacing="0" w:afterAutospacing="0" w:line="500" w:lineRule="exact"/>
        <w:textAlignment w:val="auto"/>
        <w:rPr>
          <w:rFonts w:hint="eastAsia" w:ascii="宋体" w:hAnsi="宋体" w:cs="宋体"/>
          <w:color w:val="333333"/>
          <w:kern w:val="0"/>
          <w:sz w:val="24"/>
        </w:rPr>
      </w:pPr>
      <w:r>
        <w:rPr>
          <w:rFonts w:hint="eastAsia" w:ascii="宋体" w:hAnsi="宋体" w:cs="宋体"/>
          <w:color w:val="333333"/>
          <w:kern w:val="0"/>
          <w:sz w:val="24"/>
        </w:rPr>
        <w:t>出具《季度检查报告书》。</w:t>
      </w:r>
    </w:p>
    <w:p>
      <w:pPr>
        <w:keepNext w:val="0"/>
        <w:keepLines w:val="0"/>
        <w:pageBreakBefore w:val="0"/>
        <w:numPr>
          <w:ilvl w:val="0"/>
          <w:numId w:val="12"/>
        </w:numPr>
        <w:kinsoku/>
        <w:overflowPunct/>
        <w:topLinePunct w:val="0"/>
        <w:autoSpaceDE/>
        <w:autoSpaceDN/>
        <w:bidi w:val="0"/>
        <w:adjustRightInd/>
        <w:snapToGrid/>
        <w:spacing w:beforeAutospacing="0" w:afterAutospacing="0" w:line="500" w:lineRule="exact"/>
        <w:textAlignment w:val="auto"/>
        <w:rPr>
          <w:rFonts w:hint="eastAsia" w:ascii="宋体" w:hAnsi="宋体" w:cs="宋体"/>
          <w:color w:val="333333"/>
          <w:kern w:val="0"/>
          <w:sz w:val="24"/>
        </w:rPr>
      </w:pPr>
      <w:r>
        <w:rPr>
          <w:rFonts w:hint="eastAsia" w:ascii="宋体" w:hAnsi="宋体" w:cs="宋体"/>
          <w:b/>
          <w:color w:val="333333"/>
          <w:kern w:val="0"/>
          <w:sz w:val="24"/>
        </w:rPr>
        <w:t>年巡检规定</w:t>
      </w:r>
      <w:r>
        <w:rPr>
          <w:rFonts w:hint="eastAsia" w:ascii="宋体" w:hAnsi="宋体" w:cs="宋体"/>
          <w:color w:val="333333"/>
          <w:kern w:val="0"/>
          <w:sz w:val="24"/>
        </w:rPr>
        <w:t>：每月进行一次巡检。维护保养细则如下：</w:t>
      </w:r>
    </w:p>
    <w:p>
      <w:pPr>
        <w:keepNext w:val="0"/>
        <w:keepLines w:val="0"/>
        <w:pageBreakBefore w:val="0"/>
        <w:kinsoku/>
        <w:overflowPunct/>
        <w:topLinePunct w:val="0"/>
        <w:autoSpaceDE/>
        <w:autoSpaceDN/>
        <w:bidi w:val="0"/>
        <w:adjustRightInd/>
        <w:snapToGrid/>
        <w:spacing w:beforeAutospacing="0" w:afterAutospacing="0" w:line="500" w:lineRule="exact"/>
        <w:ind w:left="540" w:leftChars="257" w:firstLine="360" w:firstLineChars="150"/>
        <w:textAlignment w:val="auto"/>
        <w:rPr>
          <w:rFonts w:hint="eastAsia" w:ascii="宋体" w:hAnsi="宋体" w:cs="宋体"/>
          <w:color w:val="333333"/>
          <w:kern w:val="0"/>
          <w:sz w:val="24"/>
        </w:rPr>
      </w:pPr>
      <w:r>
        <w:rPr>
          <w:rFonts w:hint="eastAsia" w:ascii="宋体" w:hAnsi="宋体" w:cs="宋体"/>
          <w:color w:val="333333"/>
          <w:kern w:val="0"/>
          <w:sz w:val="24"/>
        </w:rPr>
        <w:t>每年度巡检除季度，月检内容外还应进行以下工作：</w:t>
      </w:r>
    </w:p>
    <w:p>
      <w:pPr>
        <w:keepNext w:val="0"/>
        <w:keepLines w:val="0"/>
        <w:pageBreakBefore w:val="0"/>
        <w:numPr>
          <w:ilvl w:val="0"/>
          <w:numId w:val="14"/>
        </w:numPr>
        <w:kinsoku/>
        <w:overflowPunct/>
        <w:topLinePunct w:val="0"/>
        <w:autoSpaceDE/>
        <w:autoSpaceDN/>
        <w:bidi w:val="0"/>
        <w:adjustRightInd/>
        <w:snapToGrid/>
        <w:spacing w:beforeAutospacing="0" w:afterAutospacing="0" w:line="500" w:lineRule="exact"/>
        <w:textAlignment w:val="auto"/>
        <w:rPr>
          <w:rFonts w:hint="eastAsia" w:ascii="宋体" w:hAnsi="宋体" w:cs="宋体"/>
          <w:color w:val="333333"/>
          <w:kern w:val="0"/>
          <w:sz w:val="24"/>
        </w:rPr>
      </w:pPr>
      <w:r>
        <w:rPr>
          <w:rFonts w:hint="eastAsia" w:ascii="宋体" w:hAnsi="宋体" w:cs="宋体"/>
          <w:color w:val="333333"/>
          <w:kern w:val="0"/>
          <w:sz w:val="24"/>
        </w:rPr>
        <w:t>配合业主举行的消防演练，消防演练后对系统进行维护保养；</w:t>
      </w:r>
    </w:p>
    <w:p>
      <w:pPr>
        <w:keepNext w:val="0"/>
        <w:keepLines w:val="0"/>
        <w:pageBreakBefore w:val="0"/>
        <w:numPr>
          <w:ilvl w:val="0"/>
          <w:numId w:val="14"/>
        </w:numPr>
        <w:kinsoku/>
        <w:overflowPunct/>
        <w:topLinePunct w:val="0"/>
        <w:autoSpaceDE/>
        <w:autoSpaceDN/>
        <w:bidi w:val="0"/>
        <w:adjustRightInd/>
        <w:snapToGrid/>
        <w:spacing w:beforeAutospacing="0" w:afterAutospacing="0" w:line="500" w:lineRule="exact"/>
        <w:textAlignment w:val="auto"/>
        <w:rPr>
          <w:rFonts w:hint="eastAsia" w:ascii="宋体" w:hAnsi="宋体" w:cs="宋体"/>
          <w:color w:val="333333"/>
          <w:kern w:val="0"/>
          <w:sz w:val="24"/>
        </w:rPr>
      </w:pPr>
      <w:r>
        <w:rPr>
          <w:rFonts w:hint="eastAsia" w:ascii="宋体" w:hAnsi="宋体" w:cs="宋体"/>
          <w:color w:val="333333"/>
          <w:kern w:val="0"/>
          <w:sz w:val="24"/>
        </w:rPr>
        <w:t>每年应对防排烟风机的风量进行测定；</w:t>
      </w:r>
    </w:p>
    <w:p>
      <w:pPr>
        <w:keepNext w:val="0"/>
        <w:keepLines w:val="0"/>
        <w:pageBreakBefore w:val="0"/>
        <w:numPr>
          <w:ilvl w:val="0"/>
          <w:numId w:val="14"/>
        </w:numPr>
        <w:kinsoku/>
        <w:overflowPunct/>
        <w:topLinePunct w:val="0"/>
        <w:autoSpaceDE/>
        <w:autoSpaceDN/>
        <w:bidi w:val="0"/>
        <w:adjustRightInd/>
        <w:snapToGrid/>
        <w:spacing w:beforeAutospacing="0" w:afterAutospacing="0" w:line="500" w:lineRule="exact"/>
        <w:textAlignment w:val="auto"/>
        <w:rPr>
          <w:rFonts w:hint="eastAsia" w:ascii="宋体" w:hAnsi="宋体" w:cs="宋体"/>
          <w:color w:val="333333"/>
          <w:kern w:val="0"/>
          <w:sz w:val="24"/>
        </w:rPr>
      </w:pPr>
      <w:r>
        <w:rPr>
          <w:rFonts w:hint="eastAsia" w:ascii="宋体" w:hAnsi="宋体" w:cs="宋体"/>
          <w:color w:val="333333"/>
          <w:kern w:val="0"/>
          <w:sz w:val="24"/>
        </w:rPr>
        <w:t>对消防系统维护需使用的仪表进行校验；</w:t>
      </w:r>
    </w:p>
    <w:p>
      <w:pPr>
        <w:keepNext w:val="0"/>
        <w:keepLines w:val="0"/>
        <w:pageBreakBefore w:val="0"/>
        <w:numPr>
          <w:ilvl w:val="0"/>
          <w:numId w:val="14"/>
        </w:numPr>
        <w:kinsoku/>
        <w:overflowPunct/>
        <w:topLinePunct w:val="0"/>
        <w:autoSpaceDE/>
        <w:autoSpaceDN/>
        <w:bidi w:val="0"/>
        <w:adjustRightInd/>
        <w:snapToGrid/>
        <w:spacing w:beforeAutospacing="0" w:afterAutospacing="0" w:line="500" w:lineRule="exact"/>
        <w:textAlignment w:val="auto"/>
        <w:rPr>
          <w:rFonts w:hint="eastAsia" w:ascii="宋体" w:hAnsi="宋体" w:cs="宋体"/>
          <w:color w:val="333333"/>
          <w:kern w:val="0"/>
          <w:sz w:val="24"/>
        </w:rPr>
      </w:pPr>
      <w:r>
        <w:rPr>
          <w:rFonts w:hint="eastAsia" w:ascii="宋体" w:hAnsi="宋体" w:cs="宋体"/>
          <w:color w:val="333333"/>
          <w:kern w:val="0"/>
          <w:sz w:val="24"/>
        </w:rPr>
        <w:t>出具《年度检查报告书》。</w:t>
      </w:r>
    </w:p>
    <w:p>
      <w:pPr>
        <w:numPr>
          <w:ilvl w:val="0"/>
          <w:numId w:val="5"/>
        </w:numPr>
        <w:spacing w:line="500" w:lineRule="exact"/>
        <w:ind w:left="425" w:leftChars="0" w:hanging="425" w:firstLineChars="0"/>
        <w:rPr>
          <w:rFonts w:hint="eastAsia" w:ascii="宋体" w:hAnsi="宋体"/>
          <w:color w:val="000000"/>
          <w:sz w:val="24"/>
          <w:lang w:eastAsia="zh-CN"/>
        </w:rPr>
      </w:pPr>
      <w:r>
        <w:rPr>
          <w:rFonts w:hint="eastAsia" w:ascii="宋体" w:hAnsi="宋体"/>
          <w:color w:val="000000"/>
          <w:sz w:val="24"/>
          <w:lang w:eastAsia="zh-CN"/>
        </w:rPr>
        <w:t>维修规定：</w:t>
      </w:r>
    </w:p>
    <w:p>
      <w:pPr>
        <w:keepNext w:val="0"/>
        <w:keepLines w:val="0"/>
        <w:pageBreakBefore w:val="0"/>
        <w:kinsoku/>
        <w:overflowPunct/>
        <w:topLinePunct w:val="0"/>
        <w:autoSpaceDE/>
        <w:autoSpaceDN/>
        <w:bidi w:val="0"/>
        <w:adjustRightInd/>
        <w:snapToGrid/>
        <w:spacing w:beforeAutospacing="0" w:afterAutospacing="0" w:line="500" w:lineRule="exact"/>
        <w:ind w:firstLine="480" w:firstLineChars="200"/>
        <w:textAlignment w:val="auto"/>
        <w:rPr>
          <w:rFonts w:hint="eastAsia" w:ascii="宋体" w:hAnsi="宋体" w:cs="宋体"/>
          <w:color w:val="333333"/>
          <w:kern w:val="0"/>
          <w:sz w:val="24"/>
        </w:rPr>
      </w:pPr>
      <w:r>
        <w:rPr>
          <w:rFonts w:hint="eastAsia" w:ascii="宋体" w:hAnsi="宋体" w:cs="宋体"/>
          <w:color w:val="333333"/>
          <w:kern w:val="0"/>
          <w:sz w:val="24"/>
        </w:rPr>
        <w:t>公司维修人员除加强对维护点的巡检外，还应对各维护点出现的隐患、故障加强维修工作，及时检查和排除消防各系统隐患故障。为了保障维护的各系统高效可靠，特作以下规定：</w:t>
      </w:r>
    </w:p>
    <w:p>
      <w:pPr>
        <w:keepNext w:val="0"/>
        <w:keepLines w:val="0"/>
        <w:pageBreakBefore w:val="0"/>
        <w:numPr>
          <w:ilvl w:val="1"/>
          <w:numId w:val="15"/>
        </w:numPr>
        <w:kinsoku/>
        <w:overflowPunct/>
        <w:topLinePunct w:val="0"/>
        <w:autoSpaceDE/>
        <w:autoSpaceDN/>
        <w:bidi w:val="0"/>
        <w:adjustRightInd/>
        <w:snapToGrid/>
        <w:spacing w:beforeAutospacing="0" w:afterAutospacing="0" w:line="500" w:lineRule="exact"/>
        <w:textAlignment w:val="auto"/>
        <w:rPr>
          <w:rFonts w:hint="eastAsia" w:ascii="宋体" w:hAnsi="宋体" w:cs="宋体"/>
          <w:color w:val="333333"/>
          <w:kern w:val="0"/>
          <w:sz w:val="24"/>
        </w:rPr>
      </w:pPr>
      <w:r>
        <w:rPr>
          <w:rFonts w:hint="eastAsia" w:ascii="宋体" w:hAnsi="宋体" w:cs="宋体"/>
          <w:color w:val="333333"/>
          <w:kern w:val="0"/>
          <w:sz w:val="24"/>
        </w:rPr>
        <w:t>与用户保持密切联系，经常了解系统的运行情况。</w:t>
      </w:r>
    </w:p>
    <w:p>
      <w:pPr>
        <w:keepNext w:val="0"/>
        <w:keepLines w:val="0"/>
        <w:pageBreakBefore w:val="0"/>
        <w:numPr>
          <w:ilvl w:val="1"/>
          <w:numId w:val="15"/>
        </w:numPr>
        <w:kinsoku/>
        <w:overflowPunct/>
        <w:topLinePunct w:val="0"/>
        <w:autoSpaceDE/>
        <w:autoSpaceDN/>
        <w:bidi w:val="0"/>
        <w:adjustRightInd/>
        <w:snapToGrid/>
        <w:spacing w:beforeAutospacing="0" w:afterAutospacing="0" w:line="500" w:lineRule="exact"/>
        <w:textAlignment w:val="auto"/>
        <w:rPr>
          <w:rFonts w:hint="eastAsia" w:ascii="宋体" w:hAnsi="宋体" w:cs="宋体"/>
          <w:color w:val="333333"/>
          <w:kern w:val="0"/>
          <w:sz w:val="24"/>
        </w:rPr>
      </w:pPr>
      <w:r>
        <w:rPr>
          <w:rFonts w:hint="eastAsia" w:ascii="宋体" w:hAnsi="宋体" w:cs="宋体"/>
          <w:color w:val="333333"/>
          <w:kern w:val="0"/>
          <w:sz w:val="24"/>
        </w:rPr>
        <w:t>每天确定值班电话，用户随叫随到及时排除各种故障。在接到业主维修通知后，最迟不得超过12小时赶到现场，并在24小时内解决问题。</w:t>
      </w:r>
    </w:p>
    <w:p>
      <w:pPr>
        <w:keepNext w:val="0"/>
        <w:keepLines w:val="0"/>
        <w:pageBreakBefore w:val="0"/>
        <w:numPr>
          <w:ilvl w:val="1"/>
          <w:numId w:val="15"/>
        </w:numPr>
        <w:kinsoku/>
        <w:overflowPunct/>
        <w:topLinePunct w:val="0"/>
        <w:autoSpaceDE/>
        <w:autoSpaceDN/>
        <w:bidi w:val="0"/>
        <w:adjustRightInd/>
        <w:snapToGrid/>
        <w:spacing w:beforeAutospacing="0" w:afterAutospacing="0" w:line="500" w:lineRule="exact"/>
        <w:textAlignment w:val="auto"/>
        <w:rPr>
          <w:rFonts w:hint="eastAsia" w:ascii="宋体" w:hAnsi="宋体" w:cs="宋体"/>
          <w:color w:val="333333"/>
          <w:kern w:val="0"/>
          <w:sz w:val="24"/>
        </w:rPr>
      </w:pPr>
      <w:r>
        <w:rPr>
          <w:rFonts w:hint="eastAsia" w:ascii="宋体" w:hAnsi="宋体" w:cs="宋体"/>
          <w:color w:val="333333"/>
          <w:kern w:val="0"/>
          <w:sz w:val="24"/>
        </w:rPr>
        <w:t>维修过程中不得出现偷工减料，出工不出力等情况。</w:t>
      </w:r>
    </w:p>
    <w:p>
      <w:pPr>
        <w:keepNext w:val="0"/>
        <w:keepLines w:val="0"/>
        <w:pageBreakBefore w:val="0"/>
        <w:numPr>
          <w:ilvl w:val="1"/>
          <w:numId w:val="15"/>
        </w:numPr>
        <w:kinsoku/>
        <w:overflowPunct/>
        <w:topLinePunct w:val="0"/>
        <w:autoSpaceDE/>
        <w:autoSpaceDN/>
        <w:bidi w:val="0"/>
        <w:adjustRightInd/>
        <w:snapToGrid/>
        <w:spacing w:beforeAutospacing="0" w:afterAutospacing="0" w:line="500" w:lineRule="exact"/>
        <w:textAlignment w:val="auto"/>
        <w:rPr>
          <w:rFonts w:hint="eastAsia" w:ascii="宋体" w:hAnsi="宋体" w:cs="宋体"/>
          <w:color w:val="333333"/>
          <w:kern w:val="0"/>
          <w:sz w:val="24"/>
        </w:rPr>
      </w:pPr>
      <w:r>
        <w:rPr>
          <w:rFonts w:hint="eastAsia" w:ascii="宋体" w:hAnsi="宋体" w:cs="宋体"/>
          <w:color w:val="333333"/>
          <w:kern w:val="0"/>
          <w:sz w:val="24"/>
        </w:rPr>
        <w:t>每次故障排除后，必须填写《维修单报告单》。</w:t>
      </w:r>
    </w:p>
    <w:p>
      <w:pPr>
        <w:keepNext w:val="0"/>
        <w:keepLines w:val="0"/>
        <w:pageBreakBefore w:val="0"/>
        <w:numPr>
          <w:ilvl w:val="1"/>
          <w:numId w:val="15"/>
        </w:numPr>
        <w:kinsoku/>
        <w:overflowPunct/>
        <w:topLinePunct w:val="0"/>
        <w:autoSpaceDE/>
        <w:autoSpaceDN/>
        <w:bidi w:val="0"/>
        <w:adjustRightInd/>
        <w:snapToGrid/>
        <w:spacing w:beforeAutospacing="0" w:afterAutospacing="0" w:line="500" w:lineRule="exact"/>
        <w:textAlignment w:val="auto"/>
        <w:rPr>
          <w:rFonts w:hint="eastAsia" w:ascii="宋体" w:hAnsi="宋体" w:cs="宋体"/>
          <w:color w:val="333333"/>
          <w:kern w:val="0"/>
          <w:sz w:val="24"/>
        </w:rPr>
      </w:pPr>
      <w:r>
        <w:rPr>
          <w:rFonts w:hint="eastAsia"/>
          <w:sz w:val="24"/>
        </w:rPr>
        <w:t>当消防系统出现大的故障，及时通知供应商或生产厂家进行协商解决，并在《维修报告单》中注明。</w:t>
      </w:r>
    </w:p>
    <w:p>
      <w:pPr>
        <w:keepNext w:val="0"/>
        <w:keepLines w:val="0"/>
        <w:pageBreakBefore w:val="0"/>
        <w:numPr>
          <w:ilvl w:val="1"/>
          <w:numId w:val="15"/>
        </w:numPr>
        <w:kinsoku/>
        <w:overflowPunct/>
        <w:topLinePunct w:val="0"/>
        <w:autoSpaceDE/>
        <w:autoSpaceDN/>
        <w:bidi w:val="0"/>
        <w:adjustRightInd/>
        <w:snapToGrid/>
        <w:spacing w:beforeAutospacing="0" w:afterAutospacing="0" w:line="500" w:lineRule="exact"/>
        <w:textAlignment w:val="auto"/>
        <w:rPr>
          <w:rFonts w:hint="eastAsia" w:ascii="宋体" w:hAnsi="宋体" w:cs="宋体"/>
          <w:color w:val="333333"/>
          <w:kern w:val="0"/>
          <w:sz w:val="24"/>
        </w:rPr>
      </w:pPr>
      <w:r>
        <w:rPr>
          <w:rFonts w:hint="eastAsia"/>
          <w:sz w:val="24"/>
        </w:rPr>
        <w:t>较大故障的界定：</w:t>
      </w:r>
    </w:p>
    <w:p>
      <w:pPr>
        <w:keepNext w:val="0"/>
        <w:keepLines w:val="0"/>
        <w:pageBreakBefore w:val="0"/>
        <w:numPr>
          <w:ilvl w:val="4"/>
          <w:numId w:val="15"/>
        </w:numPr>
        <w:tabs>
          <w:tab w:val="left" w:pos="1800"/>
          <w:tab w:val="clear" w:pos="2660"/>
        </w:tabs>
        <w:kinsoku/>
        <w:overflowPunct/>
        <w:topLinePunct w:val="0"/>
        <w:autoSpaceDE/>
        <w:autoSpaceDN/>
        <w:bidi w:val="0"/>
        <w:adjustRightInd/>
        <w:snapToGrid/>
        <w:spacing w:beforeAutospacing="0" w:afterAutospacing="0" w:line="500" w:lineRule="exact"/>
        <w:ind w:hanging="1220"/>
        <w:textAlignment w:val="auto"/>
        <w:rPr>
          <w:rFonts w:hint="eastAsia" w:ascii="宋体" w:hAnsi="宋体" w:cs="宋体"/>
          <w:color w:val="333333"/>
          <w:kern w:val="0"/>
          <w:sz w:val="24"/>
        </w:rPr>
      </w:pPr>
      <w:r>
        <w:rPr>
          <w:rFonts w:hint="eastAsia"/>
          <w:sz w:val="24"/>
        </w:rPr>
        <w:t>消控主机丧失报警功能或功能卡件的故障；</w:t>
      </w:r>
    </w:p>
    <w:p>
      <w:pPr>
        <w:keepNext w:val="0"/>
        <w:keepLines w:val="0"/>
        <w:pageBreakBefore w:val="0"/>
        <w:numPr>
          <w:ilvl w:val="4"/>
          <w:numId w:val="15"/>
        </w:numPr>
        <w:tabs>
          <w:tab w:val="left" w:pos="1800"/>
          <w:tab w:val="clear" w:pos="2660"/>
        </w:tabs>
        <w:kinsoku/>
        <w:overflowPunct/>
        <w:topLinePunct w:val="0"/>
        <w:autoSpaceDE/>
        <w:autoSpaceDN/>
        <w:bidi w:val="0"/>
        <w:adjustRightInd/>
        <w:snapToGrid/>
        <w:spacing w:beforeAutospacing="0" w:afterAutospacing="0" w:line="500" w:lineRule="exact"/>
        <w:ind w:hanging="1220"/>
        <w:textAlignment w:val="auto"/>
        <w:rPr>
          <w:rFonts w:hint="eastAsia" w:ascii="宋体" w:hAnsi="宋体" w:cs="宋体"/>
          <w:color w:val="333333"/>
          <w:kern w:val="0"/>
          <w:sz w:val="24"/>
        </w:rPr>
      </w:pPr>
      <w:r>
        <w:rPr>
          <w:rFonts w:hint="eastAsia"/>
          <w:sz w:val="24"/>
        </w:rPr>
        <w:t>一条或以上的报警回路丧失报警功能；</w:t>
      </w:r>
    </w:p>
    <w:p>
      <w:pPr>
        <w:keepNext w:val="0"/>
        <w:keepLines w:val="0"/>
        <w:pageBreakBefore w:val="0"/>
        <w:numPr>
          <w:ilvl w:val="4"/>
          <w:numId w:val="15"/>
        </w:numPr>
        <w:tabs>
          <w:tab w:val="left" w:pos="1800"/>
          <w:tab w:val="clear" w:pos="2660"/>
        </w:tabs>
        <w:kinsoku/>
        <w:overflowPunct/>
        <w:topLinePunct w:val="0"/>
        <w:autoSpaceDE/>
        <w:autoSpaceDN/>
        <w:bidi w:val="0"/>
        <w:adjustRightInd/>
        <w:snapToGrid/>
        <w:spacing w:beforeAutospacing="0" w:afterAutospacing="0" w:line="500" w:lineRule="exact"/>
        <w:ind w:hanging="1220"/>
        <w:textAlignment w:val="auto"/>
        <w:rPr>
          <w:rFonts w:hint="eastAsia" w:ascii="宋体" w:hAnsi="宋体" w:cs="宋体"/>
          <w:color w:val="333333"/>
          <w:kern w:val="0"/>
          <w:sz w:val="24"/>
        </w:rPr>
      </w:pPr>
      <w:r>
        <w:rPr>
          <w:rFonts w:hint="eastAsia"/>
          <w:sz w:val="24"/>
        </w:rPr>
        <w:t>一条或以上的联动回路丧失联动功能；</w:t>
      </w:r>
    </w:p>
    <w:p>
      <w:pPr>
        <w:keepNext w:val="0"/>
        <w:keepLines w:val="0"/>
        <w:pageBreakBefore w:val="0"/>
        <w:numPr>
          <w:ilvl w:val="4"/>
          <w:numId w:val="15"/>
        </w:numPr>
        <w:tabs>
          <w:tab w:val="left" w:pos="1800"/>
          <w:tab w:val="clear" w:pos="2660"/>
        </w:tabs>
        <w:kinsoku/>
        <w:overflowPunct/>
        <w:topLinePunct w:val="0"/>
        <w:autoSpaceDE/>
        <w:autoSpaceDN/>
        <w:bidi w:val="0"/>
        <w:adjustRightInd/>
        <w:snapToGrid/>
        <w:spacing w:beforeAutospacing="0" w:afterAutospacing="0" w:line="500" w:lineRule="exact"/>
        <w:ind w:hanging="1220"/>
        <w:textAlignment w:val="auto"/>
        <w:rPr>
          <w:rFonts w:hint="eastAsia" w:ascii="宋体" w:hAnsi="宋体" w:cs="宋体"/>
          <w:color w:val="333333"/>
          <w:kern w:val="0"/>
          <w:sz w:val="24"/>
        </w:rPr>
      </w:pPr>
      <w:r>
        <w:rPr>
          <w:rFonts w:hint="eastAsia"/>
          <w:sz w:val="24"/>
        </w:rPr>
        <w:t>消防供水主管或二层及以上的楼层支管故障；</w:t>
      </w:r>
    </w:p>
    <w:p>
      <w:pPr>
        <w:keepNext w:val="0"/>
        <w:keepLines w:val="0"/>
        <w:pageBreakBefore w:val="0"/>
        <w:numPr>
          <w:ilvl w:val="4"/>
          <w:numId w:val="15"/>
        </w:numPr>
        <w:tabs>
          <w:tab w:val="left" w:pos="1800"/>
          <w:tab w:val="clear" w:pos="2660"/>
        </w:tabs>
        <w:kinsoku/>
        <w:overflowPunct/>
        <w:topLinePunct w:val="0"/>
        <w:autoSpaceDE/>
        <w:autoSpaceDN/>
        <w:bidi w:val="0"/>
        <w:adjustRightInd/>
        <w:snapToGrid/>
        <w:spacing w:beforeAutospacing="0" w:afterAutospacing="0" w:line="500" w:lineRule="exact"/>
        <w:ind w:hanging="1220"/>
        <w:textAlignment w:val="auto"/>
        <w:rPr>
          <w:rFonts w:hint="eastAsia" w:ascii="宋体" w:hAnsi="宋体" w:cs="宋体"/>
          <w:color w:val="333333"/>
          <w:kern w:val="0"/>
          <w:sz w:val="24"/>
        </w:rPr>
      </w:pPr>
      <w:r>
        <w:rPr>
          <w:rFonts w:hint="eastAsia"/>
          <w:sz w:val="24"/>
        </w:rPr>
        <w:t>现场大型联动设备（如水泵、风机、卷帘门等）本身的故障。</w:t>
      </w:r>
    </w:p>
    <w:p>
      <w:pPr>
        <w:numPr>
          <w:ilvl w:val="0"/>
          <w:numId w:val="5"/>
        </w:numPr>
        <w:spacing w:line="500" w:lineRule="exact"/>
        <w:ind w:left="425" w:leftChars="0" w:hanging="425" w:firstLineChars="0"/>
        <w:rPr>
          <w:rFonts w:hint="eastAsia" w:ascii="宋体" w:hAnsi="宋体"/>
          <w:color w:val="000000"/>
          <w:sz w:val="24"/>
          <w:lang w:eastAsia="zh-CN"/>
        </w:rPr>
      </w:pPr>
      <w:r>
        <w:rPr>
          <w:rFonts w:hint="eastAsia" w:ascii="宋体" w:hAnsi="宋体"/>
          <w:color w:val="000000"/>
          <w:sz w:val="24"/>
          <w:lang w:eastAsia="zh-CN"/>
        </w:rPr>
        <w:t>紧急服务计划</w:t>
      </w:r>
    </w:p>
    <w:p>
      <w:pPr>
        <w:keepNext w:val="0"/>
        <w:keepLines w:val="0"/>
        <w:pageBreakBefore w:val="0"/>
        <w:numPr>
          <w:ilvl w:val="1"/>
          <w:numId w:val="16"/>
        </w:numPr>
        <w:kinsoku/>
        <w:overflowPunct/>
        <w:topLinePunct w:val="0"/>
        <w:autoSpaceDE/>
        <w:autoSpaceDN/>
        <w:bidi w:val="0"/>
        <w:adjustRightInd/>
        <w:snapToGrid/>
        <w:spacing w:beforeAutospacing="0" w:afterAutospacing="0" w:line="500" w:lineRule="exact"/>
        <w:textAlignment w:val="auto"/>
        <w:rPr>
          <w:rFonts w:hint="eastAsia"/>
          <w:sz w:val="24"/>
        </w:rPr>
      </w:pPr>
      <w:r>
        <w:rPr>
          <w:rFonts w:hint="eastAsia"/>
          <w:sz w:val="24"/>
        </w:rPr>
        <w:t>当消防系统出现问题和故障时，作到3小时内派人员到现场，当场有条件解决的应当立即解决；没有条件当场解决的，应当在24小时内解决；需要由供应商或者厂家解决的，不影响系统正常工作的应当在10个工作日内解决，影响系统正常工作的应当在5个工作日内解决，恢复系统正常工作状态。</w:t>
      </w:r>
    </w:p>
    <w:p>
      <w:pPr>
        <w:keepNext w:val="0"/>
        <w:keepLines w:val="0"/>
        <w:pageBreakBefore w:val="0"/>
        <w:numPr>
          <w:ilvl w:val="1"/>
          <w:numId w:val="16"/>
        </w:numPr>
        <w:kinsoku/>
        <w:overflowPunct/>
        <w:topLinePunct w:val="0"/>
        <w:autoSpaceDE/>
        <w:autoSpaceDN/>
        <w:bidi w:val="0"/>
        <w:adjustRightInd/>
        <w:snapToGrid/>
        <w:spacing w:beforeAutospacing="0" w:afterAutospacing="0" w:line="500" w:lineRule="exact"/>
        <w:textAlignment w:val="auto"/>
        <w:rPr>
          <w:rFonts w:hint="eastAsia" w:ascii="宋体" w:hAnsi="宋体"/>
          <w:sz w:val="24"/>
        </w:rPr>
      </w:pPr>
      <w:r>
        <w:rPr>
          <w:rFonts w:hint="eastAsia"/>
          <w:sz w:val="24"/>
        </w:rPr>
        <w:t>对因产品质量问题造成的故障应当及时通知委托单位同供应商或生产厂家进行协商解决，并在《维护保养报告书》中注明。</w:t>
      </w:r>
    </w:p>
    <w:p>
      <w:pPr>
        <w:keepNext w:val="0"/>
        <w:keepLines w:val="0"/>
        <w:pageBreakBefore w:val="0"/>
        <w:numPr>
          <w:ilvl w:val="0"/>
          <w:numId w:val="0"/>
        </w:numPr>
        <w:kinsoku/>
        <w:overflowPunct/>
        <w:topLinePunct w:val="0"/>
        <w:autoSpaceDE/>
        <w:autoSpaceDN/>
        <w:bidi w:val="0"/>
        <w:adjustRightInd/>
        <w:snapToGrid/>
        <w:spacing w:beforeAutospacing="0" w:afterAutospacing="0" w:line="500" w:lineRule="exact"/>
        <w:ind w:left="420" w:leftChars="0"/>
        <w:textAlignment w:val="auto"/>
        <w:rPr>
          <w:rFonts w:hint="eastAsia"/>
          <w:sz w:val="24"/>
        </w:rPr>
      </w:pPr>
    </w:p>
    <w:p>
      <w:pPr>
        <w:keepNext w:val="0"/>
        <w:keepLines w:val="0"/>
        <w:pageBreakBefore w:val="0"/>
        <w:numPr>
          <w:ilvl w:val="0"/>
          <w:numId w:val="0"/>
        </w:numPr>
        <w:kinsoku/>
        <w:overflowPunct/>
        <w:topLinePunct w:val="0"/>
        <w:autoSpaceDE/>
        <w:autoSpaceDN/>
        <w:bidi w:val="0"/>
        <w:adjustRightInd/>
        <w:snapToGrid/>
        <w:spacing w:beforeAutospacing="0" w:afterAutospacing="0" w:line="500" w:lineRule="exact"/>
        <w:ind w:left="420" w:leftChars="0"/>
        <w:textAlignment w:val="auto"/>
        <w:rPr>
          <w:rFonts w:hint="eastAsia"/>
          <w:sz w:val="24"/>
        </w:rPr>
      </w:pPr>
    </w:p>
    <w:p>
      <w:pPr>
        <w:keepNext w:val="0"/>
        <w:keepLines w:val="0"/>
        <w:pageBreakBefore w:val="0"/>
        <w:numPr>
          <w:ilvl w:val="0"/>
          <w:numId w:val="0"/>
        </w:numPr>
        <w:kinsoku/>
        <w:overflowPunct/>
        <w:topLinePunct w:val="0"/>
        <w:autoSpaceDE/>
        <w:autoSpaceDN/>
        <w:bidi w:val="0"/>
        <w:adjustRightInd/>
        <w:snapToGrid/>
        <w:spacing w:beforeAutospacing="0" w:afterAutospacing="0" w:line="500" w:lineRule="exact"/>
        <w:ind w:left="420" w:leftChars="0" w:right="325" w:rightChars="155"/>
        <w:jc w:val="right"/>
        <w:textAlignment w:val="auto"/>
        <w:rPr>
          <w:rFonts w:hint="eastAsia"/>
          <w:sz w:val="24"/>
          <w:lang w:eastAsia="zh-CN"/>
        </w:rPr>
      </w:pPr>
      <w:r>
        <w:rPr>
          <w:rFonts w:hint="eastAsia"/>
          <w:sz w:val="24"/>
          <w:lang w:eastAsia="zh-CN"/>
        </w:rPr>
        <w:t>资产与后勤管理部</w:t>
      </w:r>
    </w:p>
    <w:p>
      <w:pPr>
        <w:keepNext w:val="0"/>
        <w:keepLines w:val="0"/>
        <w:pageBreakBefore w:val="0"/>
        <w:numPr>
          <w:ilvl w:val="0"/>
          <w:numId w:val="0"/>
        </w:numPr>
        <w:kinsoku/>
        <w:overflowPunct/>
        <w:topLinePunct w:val="0"/>
        <w:autoSpaceDE/>
        <w:autoSpaceDN/>
        <w:bidi w:val="0"/>
        <w:adjustRightInd/>
        <w:snapToGrid/>
        <w:spacing w:beforeAutospacing="0" w:afterAutospacing="0" w:line="500" w:lineRule="exact"/>
        <w:ind w:left="420" w:leftChars="0" w:right="325" w:rightChars="155"/>
        <w:jc w:val="right"/>
        <w:textAlignment w:val="auto"/>
        <w:rPr>
          <w:rFonts w:hint="eastAsia"/>
          <w:sz w:val="24"/>
          <w:lang w:val="en-US" w:eastAsia="zh-CN"/>
        </w:rPr>
      </w:pPr>
      <w:r>
        <w:rPr>
          <w:rFonts w:hint="eastAsia"/>
          <w:sz w:val="24"/>
          <w:lang w:val="en-US" w:eastAsia="zh-CN"/>
        </w:rPr>
        <w:t>2019年2月18</w:t>
      </w:r>
      <w:bookmarkStart w:id="0" w:name="_GoBack"/>
      <w:bookmarkEnd w:id="0"/>
      <w:r>
        <w:rPr>
          <w:rFonts w:hint="eastAsia"/>
          <w:sz w:val="24"/>
          <w:lang w:val="en-US" w:eastAsia="zh-CN"/>
        </w:rPr>
        <w:t>日</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077553"/>
    <w:multiLevelType w:val="singleLevel"/>
    <w:tmpl w:val="A8077553"/>
    <w:lvl w:ilvl="0" w:tentative="0">
      <w:start w:val="1"/>
      <w:numFmt w:val="decimal"/>
      <w:lvlText w:val="%1."/>
      <w:lvlJc w:val="left"/>
      <w:pPr>
        <w:ind w:left="425" w:hanging="425"/>
      </w:pPr>
      <w:rPr>
        <w:rFonts w:hint="default"/>
      </w:rPr>
    </w:lvl>
  </w:abstractNum>
  <w:abstractNum w:abstractNumId="1">
    <w:nsid w:val="AC91DF0D"/>
    <w:multiLevelType w:val="singleLevel"/>
    <w:tmpl w:val="AC91DF0D"/>
    <w:lvl w:ilvl="0" w:tentative="0">
      <w:start w:val="1"/>
      <w:numFmt w:val="decimal"/>
      <w:lvlText w:val="%1."/>
      <w:lvlJc w:val="left"/>
      <w:pPr>
        <w:ind w:left="425" w:hanging="425"/>
      </w:pPr>
      <w:rPr>
        <w:rFonts w:hint="default"/>
      </w:rPr>
    </w:lvl>
  </w:abstractNum>
  <w:abstractNum w:abstractNumId="2">
    <w:nsid w:val="E0D764CB"/>
    <w:multiLevelType w:val="singleLevel"/>
    <w:tmpl w:val="E0D764CB"/>
    <w:lvl w:ilvl="0" w:tentative="0">
      <w:start w:val="1"/>
      <w:numFmt w:val="decimal"/>
      <w:lvlText w:val="%1."/>
      <w:lvlJc w:val="left"/>
      <w:pPr>
        <w:ind w:left="425" w:hanging="425"/>
      </w:pPr>
      <w:rPr>
        <w:rFonts w:hint="default"/>
      </w:rPr>
    </w:lvl>
  </w:abstractNum>
  <w:abstractNum w:abstractNumId="3">
    <w:nsid w:val="EA2BC2D9"/>
    <w:multiLevelType w:val="singleLevel"/>
    <w:tmpl w:val="EA2BC2D9"/>
    <w:lvl w:ilvl="0" w:tentative="0">
      <w:start w:val="1"/>
      <w:numFmt w:val="decimal"/>
      <w:lvlText w:val="%1."/>
      <w:lvlJc w:val="left"/>
      <w:pPr>
        <w:ind w:left="425" w:hanging="425"/>
      </w:pPr>
      <w:rPr>
        <w:rFonts w:hint="default"/>
      </w:rPr>
    </w:lvl>
  </w:abstractNum>
  <w:abstractNum w:abstractNumId="4">
    <w:nsid w:val="00000006"/>
    <w:multiLevelType w:val="multilevel"/>
    <w:tmpl w:val="00000006"/>
    <w:lvl w:ilvl="0" w:tentative="0">
      <w:start w:val="1"/>
      <w:numFmt w:val="lowerLetter"/>
      <w:lvlText w:val="%1)"/>
      <w:lvlJc w:val="left"/>
      <w:pPr>
        <w:tabs>
          <w:tab w:val="left" w:pos="1413"/>
        </w:tabs>
        <w:ind w:left="1413" w:hanging="420"/>
      </w:pPr>
    </w:lvl>
    <w:lvl w:ilvl="1" w:tentative="0">
      <w:start w:val="1"/>
      <w:numFmt w:val="decimal"/>
      <w:lvlText w:val="%2)"/>
      <w:lvlJc w:val="left"/>
      <w:pPr>
        <w:tabs>
          <w:tab w:val="left" w:pos="1113"/>
        </w:tabs>
        <w:ind w:left="1113" w:hanging="420"/>
      </w:pPr>
    </w:lvl>
    <w:lvl w:ilvl="2" w:tentative="0">
      <w:start w:val="1"/>
      <w:numFmt w:val="lowerRoman"/>
      <w:lvlText w:val="%3."/>
      <w:lvlJc w:val="right"/>
      <w:pPr>
        <w:tabs>
          <w:tab w:val="left" w:pos="1533"/>
        </w:tabs>
        <w:ind w:left="1533" w:hanging="420"/>
      </w:pPr>
    </w:lvl>
    <w:lvl w:ilvl="3" w:tentative="0">
      <w:start w:val="1"/>
      <w:numFmt w:val="decimal"/>
      <w:lvlText w:val="%4."/>
      <w:lvlJc w:val="left"/>
      <w:pPr>
        <w:tabs>
          <w:tab w:val="left" w:pos="1953"/>
        </w:tabs>
        <w:ind w:left="1953" w:hanging="420"/>
      </w:pPr>
    </w:lvl>
    <w:lvl w:ilvl="4" w:tentative="0">
      <w:start w:val="1"/>
      <w:numFmt w:val="lowerLetter"/>
      <w:lvlText w:val="%5)"/>
      <w:lvlJc w:val="left"/>
      <w:pPr>
        <w:tabs>
          <w:tab w:val="left" w:pos="2373"/>
        </w:tabs>
        <w:ind w:left="2373" w:hanging="420"/>
      </w:pPr>
    </w:lvl>
    <w:lvl w:ilvl="5" w:tentative="0">
      <w:start w:val="1"/>
      <w:numFmt w:val="lowerRoman"/>
      <w:lvlText w:val="%6."/>
      <w:lvlJc w:val="right"/>
      <w:pPr>
        <w:tabs>
          <w:tab w:val="left" w:pos="2793"/>
        </w:tabs>
        <w:ind w:left="2793" w:hanging="420"/>
      </w:pPr>
    </w:lvl>
    <w:lvl w:ilvl="6" w:tentative="0">
      <w:start w:val="1"/>
      <w:numFmt w:val="decimal"/>
      <w:lvlText w:val="%7."/>
      <w:lvlJc w:val="left"/>
      <w:pPr>
        <w:tabs>
          <w:tab w:val="left" w:pos="3213"/>
        </w:tabs>
        <w:ind w:left="3213" w:hanging="420"/>
      </w:pPr>
    </w:lvl>
    <w:lvl w:ilvl="7" w:tentative="0">
      <w:start w:val="1"/>
      <w:numFmt w:val="lowerLetter"/>
      <w:lvlText w:val="%8)"/>
      <w:lvlJc w:val="left"/>
      <w:pPr>
        <w:tabs>
          <w:tab w:val="left" w:pos="3633"/>
        </w:tabs>
        <w:ind w:left="3633" w:hanging="420"/>
      </w:pPr>
    </w:lvl>
    <w:lvl w:ilvl="8" w:tentative="0">
      <w:start w:val="1"/>
      <w:numFmt w:val="lowerRoman"/>
      <w:lvlText w:val="%9."/>
      <w:lvlJc w:val="right"/>
      <w:pPr>
        <w:tabs>
          <w:tab w:val="left" w:pos="4053"/>
        </w:tabs>
        <w:ind w:left="4053" w:hanging="420"/>
      </w:pPr>
    </w:lvl>
  </w:abstractNum>
  <w:abstractNum w:abstractNumId="5">
    <w:nsid w:val="00000008"/>
    <w:multiLevelType w:val="multilevel"/>
    <w:tmpl w:val="00000008"/>
    <w:lvl w:ilvl="0" w:tentative="0">
      <w:start w:val="1"/>
      <w:numFmt w:val="upperLetter"/>
      <w:lvlText w:val="%1."/>
      <w:lvlJc w:val="left"/>
      <w:pPr>
        <w:tabs>
          <w:tab w:val="left" w:pos="960"/>
        </w:tabs>
        <w:ind w:left="960" w:hanging="420"/>
      </w:p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6">
    <w:nsid w:val="0000000B"/>
    <w:multiLevelType w:val="multilevel"/>
    <w:tmpl w:val="0000000B"/>
    <w:lvl w:ilvl="0" w:tentative="0">
      <w:start w:val="1"/>
      <w:numFmt w:val="lowerLetter"/>
      <w:lvlText w:val="%1)"/>
      <w:lvlJc w:val="left"/>
      <w:pPr>
        <w:tabs>
          <w:tab w:val="left" w:pos="980"/>
        </w:tabs>
        <w:ind w:left="980" w:hanging="420"/>
      </w:p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7">
    <w:nsid w:val="0000000D"/>
    <w:multiLevelType w:val="multilevel"/>
    <w:tmpl w:val="0000000D"/>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0000000F"/>
    <w:multiLevelType w:val="multilevel"/>
    <w:tmpl w:val="0000000F"/>
    <w:lvl w:ilvl="0" w:tentative="0">
      <w:start w:val="1"/>
      <w:numFmt w:val="lowerLetter"/>
      <w:lvlText w:val="%1)"/>
      <w:lvlJc w:val="left"/>
      <w:pPr>
        <w:tabs>
          <w:tab w:val="left" w:pos="980"/>
        </w:tabs>
        <w:ind w:left="980" w:hanging="420"/>
      </w:p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9">
    <w:nsid w:val="00000010"/>
    <w:multiLevelType w:val="multilevel"/>
    <w:tmpl w:val="00000010"/>
    <w:lvl w:ilvl="0" w:tentative="0">
      <w:start w:val="1"/>
      <w:numFmt w:val="lowerLetter"/>
      <w:lvlText w:val="%1)"/>
      <w:lvlJc w:val="left"/>
      <w:pPr>
        <w:tabs>
          <w:tab w:val="left" w:pos="1380"/>
        </w:tabs>
        <w:ind w:left="1380" w:hanging="420"/>
      </w:pPr>
    </w:lvl>
    <w:lvl w:ilvl="1" w:tentative="0">
      <w:start w:val="1"/>
      <w:numFmt w:val="lowerLetter"/>
      <w:lvlText w:val="%2)"/>
      <w:lvlJc w:val="left"/>
      <w:pPr>
        <w:tabs>
          <w:tab w:val="left" w:pos="1800"/>
        </w:tabs>
        <w:ind w:left="1800" w:hanging="420"/>
      </w:pPr>
    </w:lvl>
    <w:lvl w:ilvl="2" w:tentative="0">
      <w:start w:val="1"/>
      <w:numFmt w:val="lowerRoman"/>
      <w:lvlText w:val="%3."/>
      <w:lvlJc w:val="right"/>
      <w:pPr>
        <w:tabs>
          <w:tab w:val="left" w:pos="2220"/>
        </w:tabs>
        <w:ind w:left="2220" w:hanging="420"/>
      </w:pPr>
    </w:lvl>
    <w:lvl w:ilvl="3" w:tentative="0">
      <w:start w:val="1"/>
      <w:numFmt w:val="decimal"/>
      <w:lvlText w:val="%4."/>
      <w:lvlJc w:val="left"/>
      <w:pPr>
        <w:tabs>
          <w:tab w:val="left" w:pos="2640"/>
        </w:tabs>
        <w:ind w:left="2640" w:hanging="420"/>
      </w:pPr>
    </w:lvl>
    <w:lvl w:ilvl="4" w:tentative="0">
      <w:start w:val="1"/>
      <w:numFmt w:val="lowerLetter"/>
      <w:lvlText w:val="%5)"/>
      <w:lvlJc w:val="left"/>
      <w:pPr>
        <w:tabs>
          <w:tab w:val="left" w:pos="3060"/>
        </w:tabs>
        <w:ind w:left="3060" w:hanging="420"/>
      </w:pPr>
    </w:lvl>
    <w:lvl w:ilvl="5" w:tentative="0">
      <w:start w:val="1"/>
      <w:numFmt w:val="lowerRoman"/>
      <w:lvlText w:val="%6."/>
      <w:lvlJc w:val="right"/>
      <w:pPr>
        <w:tabs>
          <w:tab w:val="left" w:pos="3480"/>
        </w:tabs>
        <w:ind w:left="3480" w:hanging="420"/>
      </w:pPr>
    </w:lvl>
    <w:lvl w:ilvl="6" w:tentative="0">
      <w:start w:val="1"/>
      <w:numFmt w:val="decimal"/>
      <w:lvlText w:val="%7."/>
      <w:lvlJc w:val="left"/>
      <w:pPr>
        <w:tabs>
          <w:tab w:val="left" w:pos="3900"/>
        </w:tabs>
        <w:ind w:left="3900" w:hanging="420"/>
      </w:pPr>
    </w:lvl>
    <w:lvl w:ilvl="7" w:tentative="0">
      <w:start w:val="1"/>
      <w:numFmt w:val="lowerLetter"/>
      <w:lvlText w:val="%8)"/>
      <w:lvlJc w:val="left"/>
      <w:pPr>
        <w:tabs>
          <w:tab w:val="left" w:pos="4320"/>
        </w:tabs>
        <w:ind w:left="4320" w:hanging="420"/>
      </w:pPr>
    </w:lvl>
    <w:lvl w:ilvl="8" w:tentative="0">
      <w:start w:val="1"/>
      <w:numFmt w:val="lowerRoman"/>
      <w:lvlText w:val="%9."/>
      <w:lvlJc w:val="right"/>
      <w:pPr>
        <w:tabs>
          <w:tab w:val="left" w:pos="4740"/>
        </w:tabs>
        <w:ind w:left="4740" w:hanging="420"/>
      </w:pPr>
    </w:lvl>
  </w:abstractNum>
  <w:abstractNum w:abstractNumId="10">
    <w:nsid w:val="00000011"/>
    <w:multiLevelType w:val="multilevel"/>
    <w:tmpl w:val="00000011"/>
    <w:lvl w:ilvl="0" w:tentative="0">
      <w:start w:val="1"/>
      <w:numFmt w:val="decimal"/>
      <w:lvlText w:val="%1."/>
      <w:lvlJc w:val="left"/>
      <w:pPr>
        <w:tabs>
          <w:tab w:val="left" w:pos="980"/>
        </w:tabs>
        <w:ind w:left="980" w:hanging="420"/>
      </w:p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1">
    <w:nsid w:val="00000012"/>
    <w:multiLevelType w:val="multilevel"/>
    <w:tmpl w:val="00000012"/>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00000013"/>
    <w:multiLevelType w:val="multilevel"/>
    <w:tmpl w:val="00000013"/>
    <w:lvl w:ilvl="0" w:tentative="0">
      <w:start w:val="1"/>
      <w:numFmt w:val="chineseCountingThousand"/>
      <w:lvlText w:val="(%1)"/>
      <w:lvlJc w:val="left"/>
      <w:pPr>
        <w:tabs>
          <w:tab w:val="left" w:pos="980"/>
        </w:tabs>
        <w:ind w:left="980" w:hanging="420"/>
      </w:pPr>
    </w:lvl>
    <w:lvl w:ilvl="1" w:tentative="0">
      <w:start w:val="1"/>
      <w:numFmt w:val="upp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3">
    <w:nsid w:val="00000014"/>
    <w:multiLevelType w:val="multilevel"/>
    <w:tmpl w:val="00000014"/>
    <w:lvl w:ilvl="0" w:tentative="0">
      <w:start w:val="1"/>
      <w:numFmt w:val="decimal"/>
      <w:lvlText w:val="%1、"/>
      <w:lvlJc w:val="left"/>
      <w:pPr>
        <w:tabs>
          <w:tab w:val="left" w:pos="720"/>
        </w:tabs>
        <w:ind w:left="720" w:hanging="72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5"/>
    <w:multiLevelType w:val="multilevel"/>
    <w:tmpl w:val="00000015"/>
    <w:lvl w:ilvl="0" w:tentative="0">
      <w:start w:val="1"/>
      <w:numFmt w:val="lowerLetter"/>
      <w:lvlText w:val="%1)"/>
      <w:lvlJc w:val="left"/>
      <w:pPr>
        <w:tabs>
          <w:tab w:val="left" w:pos="1380"/>
        </w:tabs>
        <w:ind w:left="1380" w:hanging="420"/>
      </w:pPr>
    </w:lvl>
    <w:lvl w:ilvl="1" w:tentative="0">
      <w:start w:val="1"/>
      <w:numFmt w:val="lowerLetter"/>
      <w:lvlText w:val="%2)"/>
      <w:lvlJc w:val="left"/>
      <w:pPr>
        <w:tabs>
          <w:tab w:val="left" w:pos="1800"/>
        </w:tabs>
        <w:ind w:left="1800" w:hanging="420"/>
      </w:pPr>
    </w:lvl>
    <w:lvl w:ilvl="2" w:tentative="0">
      <w:start w:val="1"/>
      <w:numFmt w:val="lowerRoman"/>
      <w:lvlText w:val="%3."/>
      <w:lvlJc w:val="right"/>
      <w:pPr>
        <w:tabs>
          <w:tab w:val="left" w:pos="2220"/>
        </w:tabs>
        <w:ind w:left="2220" w:hanging="420"/>
      </w:pPr>
    </w:lvl>
    <w:lvl w:ilvl="3" w:tentative="0">
      <w:start w:val="1"/>
      <w:numFmt w:val="decimal"/>
      <w:lvlText w:val="%4."/>
      <w:lvlJc w:val="left"/>
      <w:pPr>
        <w:tabs>
          <w:tab w:val="left" w:pos="2640"/>
        </w:tabs>
        <w:ind w:left="2640" w:hanging="420"/>
      </w:pPr>
    </w:lvl>
    <w:lvl w:ilvl="4" w:tentative="0">
      <w:start w:val="1"/>
      <w:numFmt w:val="lowerLetter"/>
      <w:lvlText w:val="%5)"/>
      <w:lvlJc w:val="left"/>
      <w:pPr>
        <w:tabs>
          <w:tab w:val="left" w:pos="3060"/>
        </w:tabs>
        <w:ind w:left="3060" w:hanging="420"/>
      </w:pPr>
    </w:lvl>
    <w:lvl w:ilvl="5" w:tentative="0">
      <w:start w:val="1"/>
      <w:numFmt w:val="lowerRoman"/>
      <w:lvlText w:val="%6."/>
      <w:lvlJc w:val="right"/>
      <w:pPr>
        <w:tabs>
          <w:tab w:val="left" w:pos="3480"/>
        </w:tabs>
        <w:ind w:left="3480" w:hanging="420"/>
      </w:pPr>
    </w:lvl>
    <w:lvl w:ilvl="6" w:tentative="0">
      <w:start w:val="1"/>
      <w:numFmt w:val="decimal"/>
      <w:lvlText w:val="%7."/>
      <w:lvlJc w:val="left"/>
      <w:pPr>
        <w:tabs>
          <w:tab w:val="left" w:pos="3900"/>
        </w:tabs>
        <w:ind w:left="3900" w:hanging="420"/>
      </w:pPr>
    </w:lvl>
    <w:lvl w:ilvl="7" w:tentative="0">
      <w:start w:val="1"/>
      <w:numFmt w:val="lowerLetter"/>
      <w:lvlText w:val="%8)"/>
      <w:lvlJc w:val="left"/>
      <w:pPr>
        <w:tabs>
          <w:tab w:val="left" w:pos="4320"/>
        </w:tabs>
        <w:ind w:left="4320" w:hanging="420"/>
      </w:pPr>
    </w:lvl>
    <w:lvl w:ilvl="8" w:tentative="0">
      <w:start w:val="1"/>
      <w:numFmt w:val="lowerRoman"/>
      <w:lvlText w:val="%9."/>
      <w:lvlJc w:val="right"/>
      <w:pPr>
        <w:tabs>
          <w:tab w:val="left" w:pos="4740"/>
        </w:tabs>
        <w:ind w:left="4740" w:hanging="420"/>
      </w:pPr>
    </w:lvl>
  </w:abstractNum>
  <w:abstractNum w:abstractNumId="15">
    <w:nsid w:val="18DB4846"/>
    <w:multiLevelType w:val="multilevel"/>
    <w:tmpl w:val="18DB4846"/>
    <w:lvl w:ilvl="0" w:tentative="0">
      <w:start w:val="1"/>
      <w:numFmt w:val="chineseCountingThousand"/>
      <w:lvlText w:val="%1、"/>
      <w:lvlJc w:val="left"/>
      <w:pPr>
        <w:tabs>
          <w:tab w:val="left" w:pos="420"/>
        </w:tabs>
        <w:ind w:left="420" w:hanging="42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5"/>
  </w:num>
  <w:num w:numId="2">
    <w:abstractNumId w:val="0"/>
  </w:num>
  <w:num w:numId="3">
    <w:abstractNumId w:val="2"/>
  </w:num>
  <w:num w:numId="4">
    <w:abstractNumId w:val="1"/>
  </w:num>
  <w:num w:numId="5">
    <w:abstractNumId w:val="3"/>
  </w:num>
  <w:num w:numId="6">
    <w:abstractNumId w:val="5"/>
  </w:num>
  <w:num w:numId="7">
    <w:abstractNumId w:val="4"/>
  </w:num>
  <w:num w:numId="8">
    <w:abstractNumId w:val="6"/>
  </w:num>
  <w:num w:numId="9">
    <w:abstractNumId w:val="8"/>
  </w:num>
  <w:num w:numId="10">
    <w:abstractNumId w:val="7"/>
  </w:num>
  <w:num w:numId="11">
    <w:abstractNumId w:val="11"/>
  </w:num>
  <w:num w:numId="12">
    <w:abstractNumId w:val="10"/>
  </w:num>
  <w:num w:numId="13">
    <w:abstractNumId w:val="14"/>
  </w:num>
  <w:num w:numId="14">
    <w:abstractNumId w:val="9"/>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BF7DC4"/>
    <w:rsid w:val="00003EC1"/>
    <w:rsid w:val="00005064"/>
    <w:rsid w:val="00015CB8"/>
    <w:rsid w:val="00015D4D"/>
    <w:rsid w:val="00016FFB"/>
    <w:rsid w:val="00020361"/>
    <w:rsid w:val="0002393F"/>
    <w:rsid w:val="0002576D"/>
    <w:rsid w:val="0003068E"/>
    <w:rsid w:val="000362BB"/>
    <w:rsid w:val="00042D68"/>
    <w:rsid w:val="000521AC"/>
    <w:rsid w:val="00061386"/>
    <w:rsid w:val="00061F05"/>
    <w:rsid w:val="00065470"/>
    <w:rsid w:val="000858C3"/>
    <w:rsid w:val="000A6B04"/>
    <w:rsid w:val="000B7C6A"/>
    <w:rsid w:val="000C3143"/>
    <w:rsid w:val="000E4293"/>
    <w:rsid w:val="000E58B6"/>
    <w:rsid w:val="000E6552"/>
    <w:rsid w:val="00104346"/>
    <w:rsid w:val="00104C95"/>
    <w:rsid w:val="00105779"/>
    <w:rsid w:val="00122FDF"/>
    <w:rsid w:val="00126216"/>
    <w:rsid w:val="001425B5"/>
    <w:rsid w:val="00142F0F"/>
    <w:rsid w:val="0017596A"/>
    <w:rsid w:val="001942C2"/>
    <w:rsid w:val="001B0B54"/>
    <w:rsid w:val="001B653F"/>
    <w:rsid w:val="001C095A"/>
    <w:rsid w:val="001C1D25"/>
    <w:rsid w:val="001C722D"/>
    <w:rsid w:val="001E3043"/>
    <w:rsid w:val="002134BB"/>
    <w:rsid w:val="002162D6"/>
    <w:rsid w:val="00223176"/>
    <w:rsid w:val="00225489"/>
    <w:rsid w:val="00226F7D"/>
    <w:rsid w:val="00231351"/>
    <w:rsid w:val="00233059"/>
    <w:rsid w:val="00233C3C"/>
    <w:rsid w:val="00237BBC"/>
    <w:rsid w:val="00256709"/>
    <w:rsid w:val="00260145"/>
    <w:rsid w:val="002643A9"/>
    <w:rsid w:val="002671EC"/>
    <w:rsid w:val="00273CE0"/>
    <w:rsid w:val="002777A6"/>
    <w:rsid w:val="00285AE8"/>
    <w:rsid w:val="00293AC8"/>
    <w:rsid w:val="002A084E"/>
    <w:rsid w:val="002A65F2"/>
    <w:rsid w:val="002C3477"/>
    <w:rsid w:val="002C685A"/>
    <w:rsid w:val="002F3AAC"/>
    <w:rsid w:val="002F7109"/>
    <w:rsid w:val="00302842"/>
    <w:rsid w:val="00304697"/>
    <w:rsid w:val="00312F5B"/>
    <w:rsid w:val="00315B4C"/>
    <w:rsid w:val="00326011"/>
    <w:rsid w:val="003606A4"/>
    <w:rsid w:val="00372F6A"/>
    <w:rsid w:val="00375124"/>
    <w:rsid w:val="003775E8"/>
    <w:rsid w:val="003843CF"/>
    <w:rsid w:val="00392DA3"/>
    <w:rsid w:val="0039486B"/>
    <w:rsid w:val="003964E5"/>
    <w:rsid w:val="003A0613"/>
    <w:rsid w:val="003A39BD"/>
    <w:rsid w:val="003A7227"/>
    <w:rsid w:val="003B4276"/>
    <w:rsid w:val="003B67F4"/>
    <w:rsid w:val="003B78D0"/>
    <w:rsid w:val="003C6F63"/>
    <w:rsid w:val="003D03AE"/>
    <w:rsid w:val="003E0765"/>
    <w:rsid w:val="003E1497"/>
    <w:rsid w:val="003E1855"/>
    <w:rsid w:val="003E2447"/>
    <w:rsid w:val="003E3AC6"/>
    <w:rsid w:val="003F32D3"/>
    <w:rsid w:val="003F7A8F"/>
    <w:rsid w:val="0040468E"/>
    <w:rsid w:val="00407039"/>
    <w:rsid w:val="0041074E"/>
    <w:rsid w:val="00422C4E"/>
    <w:rsid w:val="00424C59"/>
    <w:rsid w:val="00427B7C"/>
    <w:rsid w:val="00432649"/>
    <w:rsid w:val="004378DA"/>
    <w:rsid w:val="0044410C"/>
    <w:rsid w:val="00446265"/>
    <w:rsid w:val="00447D97"/>
    <w:rsid w:val="004513DF"/>
    <w:rsid w:val="0046556E"/>
    <w:rsid w:val="004663CA"/>
    <w:rsid w:val="004721B1"/>
    <w:rsid w:val="00472B04"/>
    <w:rsid w:val="004747BA"/>
    <w:rsid w:val="0048578D"/>
    <w:rsid w:val="00494367"/>
    <w:rsid w:val="0049562F"/>
    <w:rsid w:val="004B1F9C"/>
    <w:rsid w:val="004B37C0"/>
    <w:rsid w:val="004C030A"/>
    <w:rsid w:val="004E0BB7"/>
    <w:rsid w:val="004E4032"/>
    <w:rsid w:val="004E589B"/>
    <w:rsid w:val="004E7ED0"/>
    <w:rsid w:val="004E7F29"/>
    <w:rsid w:val="004F34B5"/>
    <w:rsid w:val="00507736"/>
    <w:rsid w:val="00512EC2"/>
    <w:rsid w:val="00522EDF"/>
    <w:rsid w:val="0052587D"/>
    <w:rsid w:val="00527C56"/>
    <w:rsid w:val="005441F4"/>
    <w:rsid w:val="00544BD1"/>
    <w:rsid w:val="005523E1"/>
    <w:rsid w:val="00555CE9"/>
    <w:rsid w:val="0055688D"/>
    <w:rsid w:val="005632FE"/>
    <w:rsid w:val="00583F73"/>
    <w:rsid w:val="0059114D"/>
    <w:rsid w:val="005A3147"/>
    <w:rsid w:val="005A3DF1"/>
    <w:rsid w:val="005A5089"/>
    <w:rsid w:val="005C7A0B"/>
    <w:rsid w:val="005D36F9"/>
    <w:rsid w:val="005D46C0"/>
    <w:rsid w:val="005F6F38"/>
    <w:rsid w:val="0060515A"/>
    <w:rsid w:val="00607A71"/>
    <w:rsid w:val="00620978"/>
    <w:rsid w:val="006212D9"/>
    <w:rsid w:val="00624482"/>
    <w:rsid w:val="006419BC"/>
    <w:rsid w:val="0064582C"/>
    <w:rsid w:val="00645D97"/>
    <w:rsid w:val="006522C7"/>
    <w:rsid w:val="00657E37"/>
    <w:rsid w:val="00663983"/>
    <w:rsid w:val="006665B8"/>
    <w:rsid w:val="00673501"/>
    <w:rsid w:val="006A5E8F"/>
    <w:rsid w:val="006B1637"/>
    <w:rsid w:val="006B2D6F"/>
    <w:rsid w:val="006C39A4"/>
    <w:rsid w:val="006C3EFB"/>
    <w:rsid w:val="006E182B"/>
    <w:rsid w:val="006E38A0"/>
    <w:rsid w:val="006E7D62"/>
    <w:rsid w:val="006F6487"/>
    <w:rsid w:val="006F6F74"/>
    <w:rsid w:val="00702601"/>
    <w:rsid w:val="00715E97"/>
    <w:rsid w:val="00725D60"/>
    <w:rsid w:val="0073150D"/>
    <w:rsid w:val="00732C59"/>
    <w:rsid w:val="00733246"/>
    <w:rsid w:val="00733D23"/>
    <w:rsid w:val="00752B1D"/>
    <w:rsid w:val="00756023"/>
    <w:rsid w:val="00762FF1"/>
    <w:rsid w:val="00763091"/>
    <w:rsid w:val="00765F1B"/>
    <w:rsid w:val="00770422"/>
    <w:rsid w:val="007723F6"/>
    <w:rsid w:val="0077511A"/>
    <w:rsid w:val="00780567"/>
    <w:rsid w:val="007957F7"/>
    <w:rsid w:val="0079595D"/>
    <w:rsid w:val="007A1E0E"/>
    <w:rsid w:val="007A4D40"/>
    <w:rsid w:val="007B1514"/>
    <w:rsid w:val="007B421D"/>
    <w:rsid w:val="007C23BE"/>
    <w:rsid w:val="007C25D8"/>
    <w:rsid w:val="007C634A"/>
    <w:rsid w:val="007C7874"/>
    <w:rsid w:val="007D6A94"/>
    <w:rsid w:val="007D786F"/>
    <w:rsid w:val="007E1243"/>
    <w:rsid w:val="007E2DC7"/>
    <w:rsid w:val="007E55AE"/>
    <w:rsid w:val="007F0A67"/>
    <w:rsid w:val="007F54BA"/>
    <w:rsid w:val="00806C0A"/>
    <w:rsid w:val="008071FC"/>
    <w:rsid w:val="008104DF"/>
    <w:rsid w:val="00822D0D"/>
    <w:rsid w:val="0082546F"/>
    <w:rsid w:val="00837888"/>
    <w:rsid w:val="008407EA"/>
    <w:rsid w:val="0084360E"/>
    <w:rsid w:val="00855BE1"/>
    <w:rsid w:val="00867A25"/>
    <w:rsid w:val="00880DDA"/>
    <w:rsid w:val="0088457D"/>
    <w:rsid w:val="00892755"/>
    <w:rsid w:val="00897863"/>
    <w:rsid w:val="008A0E16"/>
    <w:rsid w:val="008B1CA3"/>
    <w:rsid w:val="008B6955"/>
    <w:rsid w:val="008C440B"/>
    <w:rsid w:val="008C4DA0"/>
    <w:rsid w:val="008C6070"/>
    <w:rsid w:val="008E0847"/>
    <w:rsid w:val="008E54D4"/>
    <w:rsid w:val="008F1AB6"/>
    <w:rsid w:val="008F73AB"/>
    <w:rsid w:val="00906C9D"/>
    <w:rsid w:val="009119C2"/>
    <w:rsid w:val="00915B79"/>
    <w:rsid w:val="0092453E"/>
    <w:rsid w:val="00925007"/>
    <w:rsid w:val="009356E7"/>
    <w:rsid w:val="00940D1A"/>
    <w:rsid w:val="0095293B"/>
    <w:rsid w:val="00964015"/>
    <w:rsid w:val="009670E3"/>
    <w:rsid w:val="0097535E"/>
    <w:rsid w:val="0097658F"/>
    <w:rsid w:val="0098096E"/>
    <w:rsid w:val="00983F2D"/>
    <w:rsid w:val="00985283"/>
    <w:rsid w:val="00992552"/>
    <w:rsid w:val="00994DB5"/>
    <w:rsid w:val="009965E3"/>
    <w:rsid w:val="009A1CF6"/>
    <w:rsid w:val="009A2A04"/>
    <w:rsid w:val="009A38D9"/>
    <w:rsid w:val="009A47E0"/>
    <w:rsid w:val="009A48B5"/>
    <w:rsid w:val="009B50BD"/>
    <w:rsid w:val="009C5E97"/>
    <w:rsid w:val="009D22E5"/>
    <w:rsid w:val="009D5533"/>
    <w:rsid w:val="009E0E66"/>
    <w:rsid w:val="009E3333"/>
    <w:rsid w:val="009F3F5E"/>
    <w:rsid w:val="00A1450B"/>
    <w:rsid w:val="00A16ABF"/>
    <w:rsid w:val="00A22283"/>
    <w:rsid w:val="00A23763"/>
    <w:rsid w:val="00A24F64"/>
    <w:rsid w:val="00A41DD6"/>
    <w:rsid w:val="00A553B0"/>
    <w:rsid w:val="00A607E4"/>
    <w:rsid w:val="00A633F7"/>
    <w:rsid w:val="00A63A92"/>
    <w:rsid w:val="00A65FE2"/>
    <w:rsid w:val="00A67FD0"/>
    <w:rsid w:val="00A77648"/>
    <w:rsid w:val="00A85129"/>
    <w:rsid w:val="00A8713F"/>
    <w:rsid w:val="00A87934"/>
    <w:rsid w:val="00A87A62"/>
    <w:rsid w:val="00AA46DB"/>
    <w:rsid w:val="00AA7909"/>
    <w:rsid w:val="00AB219E"/>
    <w:rsid w:val="00AB42B9"/>
    <w:rsid w:val="00AD1404"/>
    <w:rsid w:val="00AE025D"/>
    <w:rsid w:val="00AF1DFD"/>
    <w:rsid w:val="00AF3569"/>
    <w:rsid w:val="00AF6C0A"/>
    <w:rsid w:val="00B1007E"/>
    <w:rsid w:val="00B20E3B"/>
    <w:rsid w:val="00B228D5"/>
    <w:rsid w:val="00B24D45"/>
    <w:rsid w:val="00B33C54"/>
    <w:rsid w:val="00B34704"/>
    <w:rsid w:val="00B434DE"/>
    <w:rsid w:val="00B569D2"/>
    <w:rsid w:val="00B56D1E"/>
    <w:rsid w:val="00B6319B"/>
    <w:rsid w:val="00B73B8C"/>
    <w:rsid w:val="00B745CF"/>
    <w:rsid w:val="00B81DC4"/>
    <w:rsid w:val="00B85561"/>
    <w:rsid w:val="00B90192"/>
    <w:rsid w:val="00B901AE"/>
    <w:rsid w:val="00BA00FF"/>
    <w:rsid w:val="00BA1C80"/>
    <w:rsid w:val="00BB277F"/>
    <w:rsid w:val="00BB47F9"/>
    <w:rsid w:val="00BC1F5E"/>
    <w:rsid w:val="00BC5F5A"/>
    <w:rsid w:val="00BD1C4E"/>
    <w:rsid w:val="00BD5DC0"/>
    <w:rsid w:val="00BF7DC4"/>
    <w:rsid w:val="00C01126"/>
    <w:rsid w:val="00C06FAC"/>
    <w:rsid w:val="00C12896"/>
    <w:rsid w:val="00C130F5"/>
    <w:rsid w:val="00C13802"/>
    <w:rsid w:val="00C20F18"/>
    <w:rsid w:val="00C25882"/>
    <w:rsid w:val="00C30243"/>
    <w:rsid w:val="00C32A6E"/>
    <w:rsid w:val="00C3412D"/>
    <w:rsid w:val="00C40346"/>
    <w:rsid w:val="00C407A6"/>
    <w:rsid w:val="00C43933"/>
    <w:rsid w:val="00C443F0"/>
    <w:rsid w:val="00C73456"/>
    <w:rsid w:val="00C83CD1"/>
    <w:rsid w:val="00C849B5"/>
    <w:rsid w:val="00C857DC"/>
    <w:rsid w:val="00C87AC7"/>
    <w:rsid w:val="00C904D0"/>
    <w:rsid w:val="00C90639"/>
    <w:rsid w:val="00C90B4A"/>
    <w:rsid w:val="00C92F14"/>
    <w:rsid w:val="00C956C9"/>
    <w:rsid w:val="00CA6577"/>
    <w:rsid w:val="00CB5A87"/>
    <w:rsid w:val="00CB7A45"/>
    <w:rsid w:val="00CC1982"/>
    <w:rsid w:val="00CC2A4D"/>
    <w:rsid w:val="00CC4D0A"/>
    <w:rsid w:val="00CE0928"/>
    <w:rsid w:val="00CE09D9"/>
    <w:rsid w:val="00CE25E4"/>
    <w:rsid w:val="00CE2628"/>
    <w:rsid w:val="00CE3C5D"/>
    <w:rsid w:val="00CE5F9D"/>
    <w:rsid w:val="00CF1112"/>
    <w:rsid w:val="00CF3C36"/>
    <w:rsid w:val="00CF4E39"/>
    <w:rsid w:val="00CF66CF"/>
    <w:rsid w:val="00CF79A1"/>
    <w:rsid w:val="00D11FAF"/>
    <w:rsid w:val="00D216DD"/>
    <w:rsid w:val="00D26CCE"/>
    <w:rsid w:val="00D30FA2"/>
    <w:rsid w:val="00D335CC"/>
    <w:rsid w:val="00D3752C"/>
    <w:rsid w:val="00D478D1"/>
    <w:rsid w:val="00D5100A"/>
    <w:rsid w:val="00D517AC"/>
    <w:rsid w:val="00D51CAE"/>
    <w:rsid w:val="00D632D8"/>
    <w:rsid w:val="00D63968"/>
    <w:rsid w:val="00D760EA"/>
    <w:rsid w:val="00D9607B"/>
    <w:rsid w:val="00DA10C7"/>
    <w:rsid w:val="00DA235B"/>
    <w:rsid w:val="00DB1341"/>
    <w:rsid w:val="00DB4FF7"/>
    <w:rsid w:val="00DB678D"/>
    <w:rsid w:val="00E06FA4"/>
    <w:rsid w:val="00E06FCD"/>
    <w:rsid w:val="00E11635"/>
    <w:rsid w:val="00E22BE0"/>
    <w:rsid w:val="00E24876"/>
    <w:rsid w:val="00E26CBD"/>
    <w:rsid w:val="00E330CA"/>
    <w:rsid w:val="00E43646"/>
    <w:rsid w:val="00E540A5"/>
    <w:rsid w:val="00E566A8"/>
    <w:rsid w:val="00E632A0"/>
    <w:rsid w:val="00E7089D"/>
    <w:rsid w:val="00E719C9"/>
    <w:rsid w:val="00E83876"/>
    <w:rsid w:val="00E90B7D"/>
    <w:rsid w:val="00EA0AE3"/>
    <w:rsid w:val="00EA1AFE"/>
    <w:rsid w:val="00EB0619"/>
    <w:rsid w:val="00EB3D61"/>
    <w:rsid w:val="00EC0BB1"/>
    <w:rsid w:val="00EC0F44"/>
    <w:rsid w:val="00EC0FE0"/>
    <w:rsid w:val="00EC167C"/>
    <w:rsid w:val="00EC4EBF"/>
    <w:rsid w:val="00EC5896"/>
    <w:rsid w:val="00EF106D"/>
    <w:rsid w:val="00EF42CA"/>
    <w:rsid w:val="00EF4DF4"/>
    <w:rsid w:val="00F04D08"/>
    <w:rsid w:val="00F11A81"/>
    <w:rsid w:val="00F15FD8"/>
    <w:rsid w:val="00F16C34"/>
    <w:rsid w:val="00F216E5"/>
    <w:rsid w:val="00F21A3E"/>
    <w:rsid w:val="00F2734D"/>
    <w:rsid w:val="00F30130"/>
    <w:rsid w:val="00F34A2A"/>
    <w:rsid w:val="00F352B7"/>
    <w:rsid w:val="00F41697"/>
    <w:rsid w:val="00F52AC4"/>
    <w:rsid w:val="00F73133"/>
    <w:rsid w:val="00F7668D"/>
    <w:rsid w:val="00F9365E"/>
    <w:rsid w:val="00FA34FB"/>
    <w:rsid w:val="00FB3231"/>
    <w:rsid w:val="00FC2603"/>
    <w:rsid w:val="00FC55AF"/>
    <w:rsid w:val="00FD183A"/>
    <w:rsid w:val="00FD58AB"/>
    <w:rsid w:val="00FE2216"/>
    <w:rsid w:val="00FE45C6"/>
    <w:rsid w:val="00FE4E50"/>
    <w:rsid w:val="00FF1679"/>
    <w:rsid w:val="02B836B4"/>
    <w:rsid w:val="05506766"/>
    <w:rsid w:val="06A1256A"/>
    <w:rsid w:val="134102F4"/>
    <w:rsid w:val="1D050182"/>
    <w:rsid w:val="326E721C"/>
    <w:rsid w:val="6B1A4B2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99"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qFormat="1" w:unhideWhenUsed="0" w:uiPriority="99"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Document Map"/>
    <w:basedOn w:val="1"/>
    <w:link w:val="24"/>
    <w:qFormat/>
    <w:uiPriority w:val="99"/>
    <w:rPr>
      <w:rFonts w:ascii="宋体"/>
      <w:sz w:val="18"/>
      <w:szCs w:val="18"/>
    </w:rPr>
  </w:style>
  <w:style w:type="paragraph" w:styleId="4">
    <w:name w:val="Date"/>
    <w:basedOn w:val="1"/>
    <w:next w:val="1"/>
    <w:link w:val="20"/>
    <w:qFormat/>
    <w:uiPriority w:val="99"/>
    <w:pPr>
      <w:ind w:left="100" w:leftChars="2500"/>
    </w:pPr>
  </w:style>
  <w:style w:type="paragraph" w:styleId="5">
    <w:name w:val="Body Text Indent 2"/>
    <w:basedOn w:val="1"/>
    <w:link w:val="23"/>
    <w:qFormat/>
    <w:uiPriority w:val="99"/>
    <w:pPr>
      <w:spacing w:line="300" w:lineRule="auto"/>
      <w:ind w:firstLine="425"/>
    </w:pPr>
    <w:rPr>
      <w:rFonts w:ascii="宋体"/>
      <w:szCs w:val="20"/>
    </w:rPr>
  </w:style>
  <w:style w:type="paragraph" w:styleId="6">
    <w:name w:val="Balloon Text"/>
    <w:basedOn w:val="1"/>
    <w:link w:val="19"/>
    <w:semiHidden/>
    <w:qFormat/>
    <w:uiPriority w:val="99"/>
    <w:rPr>
      <w:sz w:val="18"/>
      <w:szCs w:val="18"/>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99"/>
    <w:rPr>
      <w:rFonts w:cs="Times New Roman"/>
    </w:rPr>
  </w:style>
  <w:style w:type="character" w:styleId="11">
    <w:name w:val="Hyperlink"/>
    <w:basedOn w:val="9"/>
    <w:qFormat/>
    <w:uiPriority w:val="99"/>
    <w:rPr>
      <w:rFonts w:cs="Times New Roman"/>
      <w:color w:val="000000"/>
      <w:u w:val="none"/>
    </w:rPr>
  </w:style>
  <w:style w:type="table" w:styleId="13">
    <w:name w:val="Table Grid"/>
    <w:basedOn w:val="1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4">
    <w:name w:val="Table Theme"/>
    <w:basedOn w:val="1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5">
    <w:name w:val="Table Elegant"/>
    <w:basedOn w:val="12"/>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caps/>
        <w:color w:val="auto"/>
      </w:rPr>
      <w:tblPr>
        <w:tblLayout w:type="fixed"/>
      </w:tblPr>
      <w:tcPr>
        <w:tcBorders>
          <w:tl2br w:val="nil"/>
          <w:tr2bl w:val="nil"/>
        </w:tcBorders>
      </w:tcPr>
    </w:tblStylePr>
  </w:style>
  <w:style w:type="character" w:customStyle="1" w:styleId="16">
    <w:name w:val="标题 1 Char"/>
    <w:basedOn w:val="9"/>
    <w:link w:val="2"/>
    <w:qFormat/>
    <w:locked/>
    <w:uiPriority w:val="99"/>
    <w:rPr>
      <w:rFonts w:cs="Times New Roman"/>
      <w:b/>
      <w:bCs/>
      <w:kern w:val="44"/>
      <w:sz w:val="44"/>
      <w:szCs w:val="44"/>
    </w:rPr>
  </w:style>
  <w:style w:type="paragraph" w:customStyle="1" w:styleId="17">
    <w:name w:val="Char"/>
    <w:basedOn w:val="1"/>
    <w:qFormat/>
    <w:uiPriority w:val="99"/>
    <w:pPr>
      <w:widowControl/>
      <w:spacing w:after="160" w:line="240" w:lineRule="exact"/>
      <w:jc w:val="left"/>
    </w:pPr>
    <w:rPr>
      <w:rFonts w:ascii="Verdana" w:hAnsi="Verdana" w:cs="Verdana"/>
      <w:kern w:val="0"/>
      <w:szCs w:val="21"/>
      <w:lang w:eastAsia="en-US"/>
    </w:rPr>
  </w:style>
  <w:style w:type="character" w:customStyle="1" w:styleId="18">
    <w:name w:val="页脚 Char"/>
    <w:basedOn w:val="9"/>
    <w:link w:val="7"/>
    <w:semiHidden/>
    <w:qFormat/>
    <w:locked/>
    <w:uiPriority w:val="99"/>
    <w:rPr>
      <w:rFonts w:cs="Times New Roman"/>
      <w:sz w:val="18"/>
      <w:szCs w:val="18"/>
    </w:rPr>
  </w:style>
  <w:style w:type="character" w:customStyle="1" w:styleId="19">
    <w:name w:val="批注框文本 Char"/>
    <w:basedOn w:val="9"/>
    <w:link w:val="6"/>
    <w:semiHidden/>
    <w:qFormat/>
    <w:locked/>
    <w:uiPriority w:val="99"/>
    <w:rPr>
      <w:rFonts w:cs="Times New Roman"/>
      <w:sz w:val="2"/>
    </w:rPr>
  </w:style>
  <w:style w:type="character" w:customStyle="1" w:styleId="20">
    <w:name w:val="日期 Char"/>
    <w:basedOn w:val="9"/>
    <w:link w:val="4"/>
    <w:semiHidden/>
    <w:qFormat/>
    <w:locked/>
    <w:uiPriority w:val="99"/>
    <w:rPr>
      <w:rFonts w:cs="Times New Roman"/>
      <w:sz w:val="24"/>
      <w:szCs w:val="24"/>
    </w:rPr>
  </w:style>
  <w:style w:type="character" w:customStyle="1" w:styleId="21">
    <w:name w:val="页眉 Char"/>
    <w:basedOn w:val="9"/>
    <w:link w:val="8"/>
    <w:qFormat/>
    <w:locked/>
    <w:uiPriority w:val="99"/>
    <w:rPr>
      <w:rFonts w:cs="Times New Roman"/>
      <w:kern w:val="2"/>
      <w:sz w:val="18"/>
      <w:szCs w:val="18"/>
    </w:rPr>
  </w:style>
  <w:style w:type="paragraph" w:styleId="22">
    <w:name w:val="List Paragraph"/>
    <w:basedOn w:val="1"/>
    <w:qFormat/>
    <w:uiPriority w:val="99"/>
    <w:pPr>
      <w:ind w:firstLine="420" w:firstLineChars="200"/>
    </w:pPr>
  </w:style>
  <w:style w:type="character" w:customStyle="1" w:styleId="23">
    <w:name w:val="正文文本缩进 2 Char"/>
    <w:basedOn w:val="9"/>
    <w:link w:val="5"/>
    <w:qFormat/>
    <w:locked/>
    <w:uiPriority w:val="99"/>
    <w:rPr>
      <w:rFonts w:ascii="宋体" w:cs="Times New Roman"/>
      <w:kern w:val="2"/>
      <w:sz w:val="21"/>
    </w:rPr>
  </w:style>
  <w:style w:type="character" w:customStyle="1" w:styleId="24">
    <w:name w:val="文档结构图 Char"/>
    <w:basedOn w:val="9"/>
    <w:link w:val="3"/>
    <w:qFormat/>
    <w:locked/>
    <w:uiPriority w:val="99"/>
    <w:rPr>
      <w:rFonts w:ascii="宋体" w:cs="Times New Roman"/>
      <w:kern w:val="2"/>
      <w:sz w:val="18"/>
      <w:szCs w:val="18"/>
    </w:rPr>
  </w:style>
  <w:style w:type="paragraph" w:styleId="25">
    <w:name w:val="No Spacing"/>
    <w:link w:val="2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无间隔 Char"/>
    <w:link w:val="25"/>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My%20Documents\Tencent%20Files\1165984980\FileRecv\&#25964;&#36132;&#21608;&#36716;&#25151;&#37319;&#36141;&#32500;&#20462;&#37197;&#20214;&#25253;&#20215;&#35810;&#20215;&#209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敬贤周转房采购维修配件报价询价函</Template>
  <Company>XUJC</Company>
  <Pages>3</Pages>
  <Words>359</Words>
  <Characters>2047</Characters>
  <Lines>17</Lines>
  <Paragraphs>4</Paragraphs>
  <TotalTime>2</TotalTime>
  <ScaleCrop>false</ScaleCrop>
  <LinksUpToDate>false</LinksUpToDate>
  <CharactersWithSpaces>2402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2016-11-17T09:20:00Z</dcterms:created>
  <dc:creator>微软用户</dc:creator>
  <cp:lastModifiedBy>晋锋wind   </cp:lastModifiedBy>
  <cp:lastPrinted>2016-11-17T05:53:00Z</cp:lastPrinted>
  <dcterms:modified xsi:type="dcterms:W3CDTF">2019-02-18T09:36:28Z</dcterms:modified>
  <dc:title>厦门大学嘉庚学院家具询价清单</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