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jc w:val="center"/>
        <w:rPr>
          <w:rFonts w:eastAsia="楷体_GB2312"/>
          <w:b/>
          <w:sz w:val="48"/>
          <w:szCs w:val="48"/>
        </w:rPr>
      </w:pPr>
      <w:r>
        <w:rPr>
          <w:rFonts w:hint="eastAsia" w:eastAsia="楷体_GB2312"/>
          <w:b/>
          <w:sz w:val="48"/>
          <w:szCs w:val="48"/>
        </w:rPr>
        <w:t>厦门大学嘉庚学院教学楼</w:t>
      </w:r>
      <w:r>
        <w:rPr>
          <w:rFonts w:hint="eastAsia" w:eastAsia="楷体_GB2312"/>
          <w:b/>
          <w:sz w:val="48"/>
          <w:szCs w:val="48"/>
          <w:lang w:val="en-US" w:eastAsia="zh-CN"/>
        </w:rPr>
        <w:t>投影仪、幕布</w:t>
      </w:r>
      <w:r>
        <w:rPr>
          <w:rFonts w:hint="eastAsia" w:eastAsia="楷体_GB2312"/>
          <w:b/>
          <w:sz w:val="48"/>
          <w:szCs w:val="48"/>
        </w:rPr>
        <w:t>设备采购项目</w:t>
      </w:r>
    </w:p>
    <w:p>
      <w:pPr>
        <w:spacing w:line="360" w:lineRule="auto"/>
        <w:jc w:val="center"/>
        <w:rPr>
          <w:rFonts w:ascii="楷体_GB2312" w:eastAsia="楷体_GB2312"/>
          <w:b/>
          <w:bCs/>
          <w:sz w:val="52"/>
          <w:szCs w:val="52"/>
        </w:rPr>
      </w:pPr>
    </w:p>
    <w:p>
      <w:pPr>
        <w:jc w:val="center"/>
        <w:rPr>
          <w:rFonts w:eastAsia="楷体_GB2312"/>
          <w:sz w:val="84"/>
        </w:rPr>
      </w:pPr>
      <w:r>
        <w:rPr>
          <w:rFonts w:hint="eastAsia" w:eastAsia="楷体_GB2312"/>
          <w:sz w:val="84"/>
        </w:rPr>
        <w:t>招</w:t>
      </w:r>
      <w:r>
        <w:rPr>
          <w:rFonts w:eastAsia="楷体_GB2312"/>
          <w:sz w:val="84"/>
        </w:rPr>
        <w:t xml:space="preserve">  </w:t>
      </w:r>
      <w:r>
        <w:rPr>
          <w:rFonts w:hint="eastAsia" w:eastAsia="楷体_GB2312"/>
          <w:sz w:val="84"/>
        </w:rPr>
        <w:t>标</w:t>
      </w:r>
      <w:r>
        <w:rPr>
          <w:rFonts w:eastAsia="楷体_GB2312"/>
          <w:sz w:val="84"/>
        </w:rPr>
        <w:t xml:space="preserve">  </w:t>
      </w:r>
      <w:r>
        <w:rPr>
          <w:rFonts w:hint="eastAsia" w:eastAsia="楷体_GB2312"/>
          <w:sz w:val="84"/>
        </w:rPr>
        <w:t>文</w:t>
      </w:r>
      <w:r>
        <w:rPr>
          <w:rFonts w:eastAsia="楷体_GB2312"/>
          <w:sz w:val="84"/>
        </w:rPr>
        <w:t xml:space="preserve">  </w:t>
      </w:r>
      <w:r>
        <w:rPr>
          <w:rFonts w:hint="eastAsia" w:eastAsia="楷体_GB2312"/>
          <w:sz w:val="84"/>
        </w:rPr>
        <w:t>件</w:t>
      </w:r>
    </w:p>
    <w:p>
      <w:pPr>
        <w:jc w:val="center"/>
        <w:rPr>
          <w:rFonts w:hint="default" w:eastAsia="宋体"/>
          <w:b/>
          <w:sz w:val="36"/>
          <w:szCs w:val="36"/>
          <w:lang w:val="en-US" w:eastAsia="zh-CN"/>
        </w:rPr>
      </w:pPr>
      <w:r>
        <w:rPr>
          <w:rFonts w:hint="eastAsia"/>
          <w:b/>
          <w:sz w:val="36"/>
          <w:szCs w:val="36"/>
        </w:rPr>
        <w:t>项目编号：</w:t>
      </w:r>
      <w:r>
        <w:rPr>
          <w:b/>
          <w:sz w:val="36"/>
          <w:szCs w:val="36"/>
        </w:rPr>
        <w:t>JGXY-202</w:t>
      </w:r>
      <w:r>
        <w:rPr>
          <w:rFonts w:hint="eastAsia"/>
          <w:b/>
          <w:sz w:val="36"/>
          <w:szCs w:val="36"/>
          <w:lang w:val="en-US" w:eastAsia="zh-CN"/>
        </w:rPr>
        <w:t>5</w:t>
      </w:r>
      <w:r>
        <w:rPr>
          <w:b/>
          <w:sz w:val="36"/>
          <w:szCs w:val="36"/>
        </w:rPr>
        <w:t>-</w:t>
      </w:r>
      <w:r>
        <w:rPr>
          <w:rFonts w:hint="eastAsia"/>
          <w:b/>
          <w:sz w:val="36"/>
          <w:szCs w:val="36"/>
        </w:rPr>
        <w:t>0</w:t>
      </w:r>
      <w:r>
        <w:rPr>
          <w:rFonts w:hint="eastAsia"/>
          <w:b/>
          <w:sz w:val="36"/>
          <w:szCs w:val="36"/>
          <w:lang w:val="en-US" w:eastAsia="zh-CN"/>
        </w:rPr>
        <w:t>22</w:t>
      </w: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52"/>
          <w:szCs w:val="52"/>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360" w:lineRule="auto"/>
        <w:jc w:val="center"/>
        <w:rPr>
          <w:rFonts w:ascii="楷体_GB2312" w:eastAsia="楷体_GB2312"/>
          <w:b/>
          <w:bCs/>
          <w:sz w:val="36"/>
          <w:szCs w:val="36"/>
        </w:rPr>
      </w:pPr>
    </w:p>
    <w:p>
      <w:pPr>
        <w:spacing w:line="480" w:lineRule="auto"/>
        <w:ind w:left="3914" w:leftChars="1064" w:hanging="1680" w:hangingChars="525"/>
        <w:rPr>
          <w:rFonts w:hint="eastAsia" w:eastAsia="楷体_GB2312"/>
          <w:sz w:val="32"/>
          <w:szCs w:val="32"/>
          <w:u w:val="single"/>
          <w:lang w:val="en-US" w:eastAsia="zh-CN"/>
        </w:rPr>
      </w:pPr>
      <w:r>
        <w:rPr>
          <w:rFonts w:hint="eastAsia" w:eastAsia="楷体_GB2312"/>
          <w:sz w:val="32"/>
          <w:szCs w:val="32"/>
        </w:rPr>
        <w:t>项目名称：</w:t>
      </w:r>
      <w:r>
        <w:rPr>
          <w:rFonts w:hint="eastAsia" w:eastAsia="楷体_GB2312"/>
          <w:sz w:val="32"/>
          <w:szCs w:val="32"/>
          <w:u w:val="single"/>
        </w:rPr>
        <w:t>教学楼</w:t>
      </w:r>
      <w:r>
        <w:rPr>
          <w:rFonts w:hint="eastAsia" w:eastAsia="楷体_GB2312"/>
          <w:sz w:val="32"/>
          <w:szCs w:val="32"/>
          <w:u w:val="single"/>
          <w:lang w:val="en-US" w:eastAsia="zh-CN"/>
        </w:rPr>
        <w:t>投影仪、幕布</w:t>
      </w:r>
      <w:r>
        <w:rPr>
          <w:rFonts w:hint="eastAsia" w:eastAsia="楷体_GB2312"/>
          <w:sz w:val="32"/>
          <w:szCs w:val="32"/>
          <w:u w:val="single"/>
        </w:rPr>
        <w:t>设备采购项目</w:t>
      </w:r>
      <w:r>
        <w:rPr>
          <w:rFonts w:hint="eastAsia" w:eastAsia="楷体_GB2312"/>
          <w:sz w:val="32"/>
          <w:szCs w:val="32"/>
          <w:u w:val="single"/>
          <w:lang w:val="en-US" w:eastAsia="zh-CN"/>
        </w:rPr>
        <w:t xml:space="preserve"> </w:t>
      </w:r>
    </w:p>
    <w:p>
      <w:pPr>
        <w:spacing w:line="480" w:lineRule="auto"/>
        <w:ind w:firstLine="2160" w:firstLineChars="675"/>
        <w:rPr>
          <w:rFonts w:eastAsia="楷体_GB2312"/>
          <w:sz w:val="32"/>
          <w:szCs w:val="32"/>
        </w:rPr>
      </w:pPr>
      <w:r>
        <w:rPr>
          <w:rFonts w:hint="eastAsia" w:eastAsia="楷体_GB2312"/>
          <w:sz w:val="32"/>
          <w:szCs w:val="32"/>
        </w:rPr>
        <w:t>招</w:t>
      </w:r>
      <w:r>
        <w:rPr>
          <w:rFonts w:eastAsia="楷体_GB2312"/>
          <w:sz w:val="32"/>
          <w:szCs w:val="32"/>
        </w:rPr>
        <w:t xml:space="preserve"> </w:t>
      </w:r>
      <w:r>
        <w:rPr>
          <w:rFonts w:hint="eastAsia" w:eastAsia="楷体_GB2312"/>
          <w:sz w:val="32"/>
          <w:szCs w:val="32"/>
        </w:rPr>
        <w:t>标</w:t>
      </w:r>
      <w:r>
        <w:rPr>
          <w:rFonts w:eastAsia="楷体_GB2312"/>
          <w:sz w:val="32"/>
          <w:szCs w:val="32"/>
        </w:rPr>
        <w:t xml:space="preserve"> </w:t>
      </w:r>
      <w:r>
        <w:rPr>
          <w:rFonts w:hint="eastAsia" w:eastAsia="楷体_GB2312"/>
          <w:sz w:val="32"/>
          <w:szCs w:val="32"/>
        </w:rPr>
        <w:t>人：</w:t>
      </w:r>
      <w:r>
        <w:rPr>
          <w:rFonts w:hint="eastAsia" w:eastAsia="楷体_GB2312"/>
          <w:sz w:val="32"/>
          <w:szCs w:val="32"/>
          <w:u w:val="single"/>
        </w:rPr>
        <w:t>厦门大学嘉庚学院</w:t>
      </w:r>
      <w:r>
        <w:rPr>
          <w:rFonts w:eastAsia="楷体_GB2312"/>
          <w:sz w:val="32"/>
          <w:szCs w:val="32"/>
          <w:u w:val="single"/>
        </w:rPr>
        <w:t xml:space="preserve">       </w:t>
      </w:r>
      <w:r>
        <w:rPr>
          <w:rFonts w:hint="eastAsia" w:eastAsia="楷体_GB2312"/>
          <w:sz w:val="32"/>
          <w:szCs w:val="32"/>
          <w:u w:val="single"/>
          <w:lang w:val="en-US" w:eastAsia="zh-CN"/>
        </w:rPr>
        <w:t xml:space="preserve">    </w:t>
      </w:r>
      <w:r>
        <w:rPr>
          <w:rFonts w:eastAsia="楷体_GB2312"/>
          <w:sz w:val="32"/>
          <w:szCs w:val="32"/>
          <w:u w:val="single"/>
        </w:rPr>
        <w:t xml:space="preserve">  </w:t>
      </w:r>
      <w:r>
        <w:rPr>
          <w:rFonts w:hint="eastAsia" w:eastAsia="楷体_GB2312"/>
          <w:sz w:val="32"/>
          <w:szCs w:val="32"/>
          <w:u w:val="single"/>
          <w:lang w:val="en-US" w:eastAsia="zh-CN"/>
        </w:rPr>
        <w:t xml:space="preserve"> </w:t>
      </w:r>
      <w:r>
        <w:rPr>
          <w:rFonts w:eastAsia="楷体_GB2312"/>
          <w:sz w:val="32"/>
          <w:szCs w:val="32"/>
          <w:u w:val="single"/>
        </w:rPr>
        <w:t xml:space="preserve">  </w:t>
      </w:r>
    </w:p>
    <w:p>
      <w:pPr>
        <w:spacing w:line="480" w:lineRule="auto"/>
        <w:ind w:firstLine="2160" w:firstLineChars="675"/>
        <w:rPr>
          <w:rFonts w:eastAsia="楷体_GB2312"/>
          <w:sz w:val="32"/>
          <w:szCs w:val="32"/>
        </w:rPr>
      </w:pPr>
      <w:r>
        <w:rPr>
          <w:rFonts w:hint="eastAsia" w:eastAsia="楷体_GB2312"/>
          <w:sz w:val="32"/>
          <w:szCs w:val="32"/>
        </w:rPr>
        <w:t>地</w:t>
      </w:r>
      <w:r>
        <w:rPr>
          <w:rFonts w:eastAsia="楷体_GB2312"/>
          <w:sz w:val="32"/>
          <w:szCs w:val="32"/>
        </w:rPr>
        <w:t xml:space="preserve">    </w:t>
      </w:r>
      <w:r>
        <w:rPr>
          <w:rFonts w:hint="eastAsia" w:eastAsia="楷体_GB2312"/>
          <w:sz w:val="32"/>
          <w:szCs w:val="32"/>
        </w:rPr>
        <w:t>址：</w:t>
      </w:r>
      <w:r>
        <w:rPr>
          <w:rFonts w:hint="eastAsia" w:eastAsia="楷体_GB2312"/>
          <w:sz w:val="32"/>
          <w:szCs w:val="32"/>
          <w:u w:val="single"/>
        </w:rPr>
        <w:t>厦门大学漳州校区</w:t>
      </w:r>
      <w:r>
        <w:rPr>
          <w:rFonts w:eastAsia="楷体_GB2312"/>
          <w:sz w:val="32"/>
          <w:szCs w:val="32"/>
          <w:u w:val="single"/>
        </w:rPr>
        <w:t xml:space="preserve">       </w:t>
      </w:r>
      <w:r>
        <w:rPr>
          <w:rFonts w:hint="eastAsia" w:eastAsia="楷体_GB2312"/>
          <w:sz w:val="32"/>
          <w:szCs w:val="32"/>
          <w:u w:val="single"/>
          <w:lang w:val="en-US" w:eastAsia="zh-CN"/>
        </w:rPr>
        <w:t xml:space="preserve">     </w:t>
      </w:r>
      <w:r>
        <w:rPr>
          <w:rFonts w:eastAsia="楷体_GB2312"/>
          <w:sz w:val="32"/>
          <w:szCs w:val="32"/>
          <w:u w:val="single"/>
        </w:rPr>
        <w:t xml:space="preserve">    </w:t>
      </w:r>
    </w:p>
    <w:p>
      <w:pPr>
        <w:tabs>
          <w:tab w:val="left" w:pos="8820"/>
          <w:tab w:val="left" w:pos="9030"/>
        </w:tabs>
        <w:spacing w:line="480" w:lineRule="auto"/>
        <w:ind w:firstLine="2160" w:firstLineChars="675"/>
        <w:rPr>
          <w:rFonts w:eastAsia="楷体_GB2312"/>
          <w:sz w:val="32"/>
          <w:szCs w:val="32"/>
        </w:rPr>
      </w:pPr>
      <w:r>
        <w:rPr>
          <w:rFonts w:hint="eastAsia" w:eastAsia="楷体_GB2312"/>
          <w:sz w:val="32"/>
          <w:szCs w:val="32"/>
        </w:rPr>
        <w:t>日</w:t>
      </w:r>
      <w:r>
        <w:rPr>
          <w:rFonts w:eastAsia="楷体_GB2312"/>
          <w:sz w:val="32"/>
          <w:szCs w:val="32"/>
        </w:rPr>
        <w:t xml:space="preserve">    </w:t>
      </w:r>
      <w:r>
        <w:rPr>
          <w:rFonts w:hint="eastAsia" w:eastAsia="楷体_GB2312"/>
          <w:sz w:val="32"/>
          <w:szCs w:val="32"/>
        </w:rPr>
        <w:t>期：</w:t>
      </w:r>
      <w:r>
        <w:rPr>
          <w:rFonts w:eastAsia="楷体_GB2312"/>
          <w:sz w:val="32"/>
          <w:szCs w:val="32"/>
          <w:u w:val="single"/>
        </w:rPr>
        <w:t>202</w:t>
      </w:r>
      <w:r>
        <w:rPr>
          <w:rFonts w:hint="eastAsia" w:eastAsia="楷体_GB2312"/>
          <w:sz w:val="32"/>
          <w:szCs w:val="32"/>
          <w:u w:val="single"/>
          <w:lang w:val="en-US" w:eastAsia="zh-CN"/>
        </w:rPr>
        <w:t>5</w:t>
      </w:r>
      <w:r>
        <w:rPr>
          <w:rFonts w:hint="eastAsia" w:eastAsia="楷体_GB2312"/>
          <w:sz w:val="32"/>
          <w:szCs w:val="32"/>
          <w:u w:val="single"/>
        </w:rPr>
        <w:t>年</w:t>
      </w:r>
      <w:r>
        <w:rPr>
          <w:rFonts w:hint="eastAsia" w:eastAsia="楷体_GB2312"/>
          <w:sz w:val="32"/>
          <w:szCs w:val="32"/>
          <w:u w:val="single"/>
          <w:lang w:val="en-US" w:eastAsia="zh-CN"/>
        </w:rPr>
        <w:t>10</w:t>
      </w:r>
      <w:r>
        <w:rPr>
          <w:rFonts w:hint="eastAsia" w:eastAsia="楷体_GB2312"/>
          <w:sz w:val="32"/>
          <w:szCs w:val="32"/>
          <w:u w:val="single"/>
        </w:rPr>
        <w:t>月</w:t>
      </w:r>
      <w:r>
        <w:rPr>
          <w:rFonts w:eastAsia="楷体_GB2312"/>
          <w:sz w:val="32"/>
          <w:szCs w:val="32"/>
          <w:u w:val="single"/>
        </w:rPr>
        <w:t xml:space="preserve">       </w:t>
      </w:r>
      <w:r>
        <w:rPr>
          <w:rFonts w:hint="eastAsia" w:eastAsia="楷体_GB2312"/>
          <w:sz w:val="32"/>
          <w:szCs w:val="32"/>
          <w:u w:val="single"/>
          <w:lang w:val="en-US" w:eastAsia="zh-CN"/>
        </w:rPr>
        <w:t xml:space="preserve">    </w:t>
      </w:r>
      <w:r>
        <w:rPr>
          <w:rFonts w:eastAsia="楷体_GB2312"/>
          <w:sz w:val="32"/>
          <w:szCs w:val="32"/>
          <w:u w:val="single"/>
        </w:rPr>
        <w:t xml:space="preserve">         </w:t>
      </w:r>
    </w:p>
    <w:p>
      <w:pPr>
        <w:widowControl/>
        <w:spacing w:line="480" w:lineRule="auto"/>
        <w:jc w:val="left"/>
        <w:rPr>
          <w:rFonts w:eastAsia="楷体_GB2312"/>
          <w:sz w:val="52"/>
          <w:szCs w:val="52"/>
        </w:rPr>
        <w:sectPr>
          <w:pgSz w:w="11906" w:h="16838"/>
          <w:pgMar w:top="964" w:right="1191" w:bottom="964" w:left="1191" w:header="851" w:footer="992" w:gutter="0"/>
          <w:cols w:space="720" w:num="1"/>
          <w:docGrid w:type="lines" w:linePitch="312" w:charSpace="0"/>
        </w:sectPr>
      </w:pPr>
    </w:p>
    <w:p>
      <w:pPr>
        <w:spacing w:line="480" w:lineRule="auto"/>
        <w:jc w:val="center"/>
        <w:rPr>
          <w:rFonts w:eastAsia="楷体_GB2312"/>
          <w:sz w:val="52"/>
          <w:szCs w:val="52"/>
        </w:rPr>
      </w:pPr>
      <w:r>
        <w:rPr>
          <w:rFonts w:hint="eastAsia" w:eastAsia="楷体_GB2312"/>
          <w:sz w:val="52"/>
          <w:szCs w:val="52"/>
        </w:rPr>
        <w:t>目录</w:t>
      </w:r>
    </w:p>
    <w:p>
      <w:pPr>
        <w:pStyle w:val="9"/>
        <w:tabs>
          <w:tab w:val="left" w:pos="840"/>
          <w:tab w:val="right" w:leader="dot" w:pos="9514"/>
        </w:tabs>
        <w:rPr>
          <w:rFonts w:ascii="等线" w:hAnsi="等线" w:eastAsia="等线"/>
          <w:b w:val="0"/>
          <w:bCs w:val="0"/>
          <w:caps w:val="0"/>
          <w:sz w:val="21"/>
          <w:szCs w:val="22"/>
        </w:rPr>
      </w:pPr>
      <w:r>
        <w:rPr>
          <w:rFonts w:eastAsia="楷体_GB2312"/>
          <w:sz w:val="32"/>
          <w:szCs w:val="32"/>
          <w:u w:val="single"/>
        </w:rPr>
        <w:fldChar w:fldCharType="begin"/>
      </w:r>
      <w:r>
        <w:rPr>
          <w:rFonts w:eastAsia="楷体_GB2312"/>
          <w:sz w:val="32"/>
          <w:szCs w:val="32"/>
          <w:u w:val="single"/>
        </w:rPr>
        <w:instrText xml:space="preserve"> TOC \o "1-3" \h \z \u </w:instrText>
      </w:r>
      <w:r>
        <w:rPr>
          <w:rFonts w:eastAsia="楷体_GB2312"/>
          <w:sz w:val="32"/>
          <w:szCs w:val="32"/>
          <w:u w:val="single"/>
        </w:rPr>
        <w:fldChar w:fldCharType="separate"/>
      </w:r>
      <w:r>
        <w:fldChar w:fldCharType="begin"/>
      </w:r>
      <w:r>
        <w:instrText xml:space="preserve"> HYPERLINK \l "_Toc153463827" </w:instrText>
      </w:r>
      <w:r>
        <w:fldChar w:fldCharType="separate"/>
      </w:r>
      <w:r>
        <w:rPr>
          <w:rStyle w:val="14"/>
        </w:rPr>
        <w:t>第一章</w:t>
      </w:r>
      <w:r>
        <w:rPr>
          <w:rFonts w:ascii="等线" w:hAnsi="等线" w:eastAsia="等线"/>
          <w:b w:val="0"/>
          <w:bCs w:val="0"/>
          <w:caps w:val="0"/>
          <w:sz w:val="21"/>
          <w:szCs w:val="22"/>
        </w:rPr>
        <w:tab/>
      </w:r>
      <w:r>
        <w:rPr>
          <w:rStyle w:val="14"/>
        </w:rPr>
        <w:t>投标邀请书</w:t>
      </w:r>
      <w:r>
        <w:tab/>
      </w:r>
      <w:r>
        <w:fldChar w:fldCharType="begin"/>
      </w:r>
      <w:r>
        <w:instrText xml:space="preserve"> PAGEREF _Toc153463827 \h </w:instrText>
      </w:r>
      <w:r>
        <w:fldChar w:fldCharType="separate"/>
      </w:r>
      <w:r>
        <w:t>- 1 -</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"_Toc153463828" </w:instrText>
      </w:r>
      <w:r>
        <w:fldChar w:fldCharType="separate"/>
      </w:r>
      <w:r>
        <w:rPr>
          <w:rStyle w:val="14"/>
        </w:rPr>
        <w:t>第二章</w:t>
      </w:r>
      <w:r>
        <w:rPr>
          <w:rFonts w:ascii="等线" w:hAnsi="等线" w:eastAsia="等线"/>
          <w:b w:val="0"/>
          <w:bCs w:val="0"/>
          <w:caps w:val="0"/>
          <w:sz w:val="21"/>
          <w:szCs w:val="22"/>
        </w:rPr>
        <w:tab/>
      </w:r>
      <w:r>
        <w:rPr>
          <w:rStyle w:val="14"/>
        </w:rPr>
        <w:t>采购项目说明及要求</w:t>
      </w:r>
      <w:r>
        <w:tab/>
      </w:r>
      <w:r>
        <w:fldChar w:fldCharType="begin"/>
      </w:r>
      <w:r>
        <w:instrText xml:space="preserve"> PAGEREF _Toc153463828 \h </w:instrText>
      </w:r>
      <w:r>
        <w:fldChar w:fldCharType="separate"/>
      </w:r>
      <w:r>
        <w:t>3</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"_Toc153463829" </w:instrText>
      </w:r>
      <w:r>
        <w:fldChar w:fldCharType="separate"/>
      </w:r>
      <w:r>
        <w:rPr>
          <w:rStyle w:val="14"/>
        </w:rPr>
        <w:t>第三章</w:t>
      </w:r>
      <w:r>
        <w:rPr>
          <w:rFonts w:ascii="等线" w:hAnsi="等线" w:eastAsia="等线"/>
          <w:b w:val="0"/>
          <w:bCs w:val="0"/>
          <w:caps w:val="0"/>
          <w:sz w:val="21"/>
          <w:szCs w:val="22"/>
        </w:rPr>
        <w:tab/>
      </w:r>
      <w:r>
        <w:rPr>
          <w:rStyle w:val="14"/>
        </w:rPr>
        <w:t>投标人须知</w:t>
      </w:r>
      <w:r>
        <w:tab/>
      </w:r>
      <w:r>
        <w:fldChar w:fldCharType="begin"/>
      </w:r>
      <w:r>
        <w:instrText xml:space="preserve"> PAGEREF _Toc153463829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"_Toc153463830" </w:instrText>
      </w:r>
      <w:r>
        <w:fldChar w:fldCharType="separate"/>
      </w:r>
      <w:r>
        <w:rPr>
          <w:rStyle w:val="14"/>
        </w:rPr>
        <w:t>第一节</w:t>
      </w:r>
      <w:r>
        <w:rPr>
          <w:rFonts w:ascii="等线" w:hAnsi="等线" w:eastAsia="等线"/>
          <w:smallCaps w:val="0"/>
          <w:sz w:val="21"/>
          <w:szCs w:val="22"/>
        </w:rPr>
        <w:tab/>
      </w:r>
      <w:r>
        <w:rPr>
          <w:rStyle w:val="14"/>
        </w:rPr>
        <w:t>说明</w:t>
      </w:r>
      <w:r>
        <w:tab/>
      </w:r>
      <w:r>
        <w:fldChar w:fldCharType="begin"/>
      </w:r>
      <w:r>
        <w:instrText xml:space="preserve"> PAGEREF _Toc153463830 \h </w:instrText>
      </w:r>
      <w:r>
        <w:fldChar w:fldCharType="separate"/>
      </w:r>
      <w:r>
        <w:t>12</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"_Toc153463831" </w:instrText>
      </w:r>
      <w:r>
        <w:fldChar w:fldCharType="separate"/>
      </w:r>
      <w:r>
        <w:rPr>
          <w:rStyle w:val="14"/>
        </w:rPr>
        <w:t>第二节</w:t>
      </w:r>
      <w:r>
        <w:rPr>
          <w:rFonts w:ascii="等线" w:hAnsi="等线" w:eastAsia="等线"/>
          <w:smallCaps w:val="0"/>
          <w:sz w:val="21"/>
          <w:szCs w:val="22"/>
        </w:rPr>
        <w:tab/>
      </w:r>
      <w:r>
        <w:rPr>
          <w:rStyle w:val="14"/>
        </w:rPr>
        <w:t>招标文件说明</w:t>
      </w:r>
      <w:r>
        <w:tab/>
      </w:r>
      <w:r>
        <w:fldChar w:fldCharType="begin"/>
      </w:r>
      <w:r>
        <w:instrText xml:space="preserve"> PAGEREF _Toc153463831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"_Toc153463832" </w:instrText>
      </w:r>
      <w:r>
        <w:fldChar w:fldCharType="separate"/>
      </w:r>
      <w:r>
        <w:rPr>
          <w:rStyle w:val="14"/>
        </w:rPr>
        <w:t>第三节</w:t>
      </w:r>
      <w:r>
        <w:rPr>
          <w:rFonts w:ascii="等线" w:hAnsi="等线" w:eastAsia="等线"/>
          <w:smallCaps w:val="0"/>
          <w:sz w:val="21"/>
          <w:szCs w:val="22"/>
        </w:rPr>
        <w:tab/>
      </w:r>
      <w:r>
        <w:rPr>
          <w:rStyle w:val="14"/>
        </w:rPr>
        <w:t>投标文件的编写</w:t>
      </w:r>
      <w:r>
        <w:tab/>
      </w:r>
      <w:r>
        <w:fldChar w:fldCharType="begin"/>
      </w:r>
      <w:r>
        <w:instrText xml:space="preserve"> PAGEREF _Toc153463832 \h </w:instrText>
      </w:r>
      <w:r>
        <w:fldChar w:fldCharType="separate"/>
      </w:r>
      <w:r>
        <w:t>13</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"_Toc153463833" </w:instrText>
      </w:r>
      <w:r>
        <w:fldChar w:fldCharType="separate"/>
      </w:r>
      <w:r>
        <w:rPr>
          <w:rStyle w:val="14"/>
        </w:rPr>
        <w:t>第四节</w:t>
      </w:r>
      <w:r>
        <w:rPr>
          <w:rFonts w:ascii="等线" w:hAnsi="等线" w:eastAsia="等线"/>
          <w:smallCaps w:val="0"/>
          <w:sz w:val="21"/>
          <w:szCs w:val="22"/>
        </w:rPr>
        <w:tab/>
      </w:r>
      <w:r>
        <w:rPr>
          <w:rStyle w:val="14"/>
        </w:rPr>
        <w:t>投标文件的递交</w:t>
      </w:r>
      <w:r>
        <w:tab/>
      </w:r>
      <w:r>
        <w:fldChar w:fldCharType="begin"/>
      </w:r>
      <w:r>
        <w:instrText xml:space="preserve"> PAGEREF _Toc153463833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"_Toc153463834" </w:instrText>
      </w:r>
      <w:r>
        <w:fldChar w:fldCharType="separate"/>
      </w:r>
      <w:r>
        <w:rPr>
          <w:rStyle w:val="14"/>
        </w:rPr>
        <w:t>第五节</w:t>
      </w:r>
      <w:r>
        <w:rPr>
          <w:rFonts w:ascii="等线" w:hAnsi="等线" w:eastAsia="等线"/>
          <w:smallCaps w:val="0"/>
          <w:sz w:val="21"/>
          <w:szCs w:val="22"/>
        </w:rPr>
        <w:tab/>
      </w:r>
      <w:r>
        <w:rPr>
          <w:rStyle w:val="14"/>
        </w:rPr>
        <w:t>开标和评标</w:t>
      </w:r>
      <w:r>
        <w:tab/>
      </w:r>
      <w:r>
        <w:fldChar w:fldCharType="begin"/>
      </w:r>
      <w:r>
        <w:instrText xml:space="preserve"> PAGEREF _Toc153463834 \h </w:instrText>
      </w:r>
      <w:r>
        <w:fldChar w:fldCharType="separate"/>
      </w:r>
      <w:r>
        <w:t>15</w:t>
      </w:r>
      <w:r>
        <w:fldChar w:fldCharType="end"/>
      </w:r>
      <w:r>
        <w:fldChar w:fldCharType="end"/>
      </w:r>
    </w:p>
    <w:p>
      <w:pPr>
        <w:pStyle w:val="10"/>
        <w:tabs>
          <w:tab w:val="left" w:pos="1050"/>
          <w:tab w:val="right" w:leader="dot" w:pos="9514"/>
        </w:tabs>
        <w:rPr>
          <w:rFonts w:ascii="等线" w:hAnsi="等线" w:eastAsia="等线"/>
          <w:smallCaps w:val="0"/>
          <w:sz w:val="21"/>
          <w:szCs w:val="22"/>
        </w:rPr>
      </w:pPr>
      <w:r>
        <w:fldChar w:fldCharType="begin"/>
      </w:r>
      <w:r>
        <w:instrText xml:space="preserve"> HYPERLINK \l "_Toc153463835" </w:instrText>
      </w:r>
      <w:r>
        <w:fldChar w:fldCharType="separate"/>
      </w:r>
      <w:r>
        <w:rPr>
          <w:rStyle w:val="14"/>
        </w:rPr>
        <w:t>第六节</w:t>
      </w:r>
      <w:r>
        <w:rPr>
          <w:rFonts w:ascii="等线" w:hAnsi="等线" w:eastAsia="等线"/>
          <w:smallCaps w:val="0"/>
          <w:sz w:val="21"/>
          <w:szCs w:val="22"/>
        </w:rPr>
        <w:tab/>
      </w:r>
      <w:r>
        <w:rPr>
          <w:rStyle w:val="14"/>
        </w:rPr>
        <w:t>定标</w:t>
      </w:r>
      <w:r>
        <w:tab/>
      </w:r>
      <w:r>
        <w:fldChar w:fldCharType="begin"/>
      </w:r>
      <w:r>
        <w:instrText xml:space="preserve"> PAGEREF _Toc153463835 \h </w:instrText>
      </w:r>
      <w:r>
        <w:fldChar w:fldCharType="separate"/>
      </w:r>
      <w:r>
        <w:t>17</w:t>
      </w:r>
      <w:r>
        <w:fldChar w:fldCharType="end"/>
      </w:r>
      <w:r>
        <w:fldChar w:fldCharType="end"/>
      </w:r>
    </w:p>
    <w:p>
      <w:pPr>
        <w:pStyle w:val="9"/>
        <w:tabs>
          <w:tab w:val="left" w:pos="840"/>
          <w:tab w:val="right" w:leader="dot" w:pos="9514"/>
        </w:tabs>
        <w:rPr>
          <w:rFonts w:ascii="等线" w:hAnsi="等线" w:eastAsia="等线"/>
          <w:b w:val="0"/>
          <w:bCs w:val="0"/>
          <w:caps w:val="0"/>
          <w:sz w:val="21"/>
          <w:szCs w:val="22"/>
        </w:rPr>
      </w:pPr>
      <w:r>
        <w:fldChar w:fldCharType="begin"/>
      </w:r>
      <w:r>
        <w:instrText xml:space="preserve"> HYPERLINK \l "_Toc153463836" </w:instrText>
      </w:r>
      <w:r>
        <w:fldChar w:fldCharType="separate"/>
      </w:r>
      <w:r>
        <w:rPr>
          <w:rStyle w:val="14"/>
        </w:rPr>
        <w:t>第四章</w:t>
      </w:r>
      <w:r>
        <w:rPr>
          <w:rFonts w:ascii="等线" w:hAnsi="等线" w:eastAsia="等线"/>
          <w:b w:val="0"/>
          <w:bCs w:val="0"/>
          <w:caps w:val="0"/>
          <w:sz w:val="21"/>
          <w:szCs w:val="22"/>
        </w:rPr>
        <w:tab/>
      </w:r>
      <w:r>
        <w:rPr>
          <w:rStyle w:val="14"/>
        </w:rPr>
        <w:t>投标文件格式</w:t>
      </w:r>
      <w:r>
        <w:tab/>
      </w:r>
      <w:r>
        <w:fldChar w:fldCharType="begin"/>
      </w:r>
      <w:r>
        <w:instrText xml:space="preserve"> PAGEREF _Toc153463836 \h </w:instrText>
      </w:r>
      <w:r>
        <w:fldChar w:fldCharType="separate"/>
      </w:r>
      <w:r>
        <w:t>18</w:t>
      </w:r>
      <w:r>
        <w:fldChar w:fldCharType="end"/>
      </w:r>
      <w:r>
        <w:fldChar w:fldCharType="end"/>
      </w:r>
    </w:p>
    <w:p>
      <w:pPr>
        <w:spacing w:line="480" w:lineRule="auto"/>
        <w:rPr>
          <w:rFonts w:eastAsia="楷体_GB2312"/>
          <w:sz w:val="32"/>
          <w:szCs w:val="32"/>
          <w:u w:val="single"/>
        </w:rPr>
      </w:pPr>
      <w:r>
        <w:rPr>
          <w:rFonts w:eastAsia="楷体_GB2312"/>
          <w:szCs w:val="32"/>
          <w:u w:val="single"/>
        </w:rPr>
        <w:fldChar w:fldCharType="end"/>
      </w:r>
    </w:p>
    <w:p>
      <w:pPr>
        <w:widowControl/>
        <w:spacing w:line="480" w:lineRule="auto"/>
        <w:jc w:val="left"/>
        <w:rPr>
          <w:rFonts w:eastAsia="楷体_GB2312"/>
          <w:sz w:val="32"/>
          <w:szCs w:val="32"/>
          <w:u w:val="single"/>
        </w:rPr>
        <w:sectPr>
          <w:footerReference r:id="rId3" w:type="default"/>
          <w:pgSz w:w="11906" w:h="16838"/>
          <w:pgMar w:top="964" w:right="1191" w:bottom="964" w:left="1191" w:header="851" w:footer="992" w:gutter="0"/>
          <w:pgNumType w:start="1"/>
          <w:cols w:space="720" w:num="1"/>
          <w:docGrid w:type="lines" w:linePitch="312" w:charSpace="0"/>
        </w:sectPr>
      </w:pPr>
    </w:p>
    <w:p>
      <w:pPr>
        <w:pStyle w:val="2"/>
        <w:numPr>
          <w:ilvl w:val="0"/>
          <w:numId w:val="1"/>
        </w:numPr>
        <w:jc w:val="center"/>
      </w:pPr>
      <w:bookmarkStart w:id="0" w:name="_Toc153463827"/>
      <w:r>
        <w:rPr>
          <w:rFonts w:hint="eastAsia"/>
        </w:rPr>
        <w:t>投标邀请书</w:t>
      </w:r>
      <w:bookmarkEnd w:id="0"/>
    </w:p>
    <w:p>
      <w:pPr>
        <w:spacing w:line="360" w:lineRule="auto"/>
        <w:ind w:left="420" w:firstLine="480" w:firstLineChars="200"/>
        <w:rPr>
          <w:rFonts w:ascii="宋体"/>
          <w:sz w:val="24"/>
        </w:rPr>
      </w:pPr>
      <w:r>
        <w:rPr>
          <w:rFonts w:hint="eastAsia"/>
          <w:sz w:val="24"/>
        </w:rPr>
        <w:t>厦门大学嘉庚学院资产与后勤管理部受我校招标领导小组的委托，以公开招标形式采购一批多媒体设备，欢迎具备相应资格条件的供应商参与投标。</w:t>
      </w:r>
    </w:p>
    <w:p>
      <w:pPr>
        <w:numPr>
          <w:ilvl w:val="1"/>
          <w:numId w:val="1"/>
        </w:numPr>
        <w:spacing w:line="360" w:lineRule="auto"/>
        <w:ind w:left="420" w:firstLine="420"/>
        <w:rPr>
          <w:sz w:val="24"/>
        </w:rPr>
      </w:pPr>
      <w:r>
        <w:rPr>
          <w:rFonts w:hint="eastAsia"/>
          <w:sz w:val="24"/>
        </w:rPr>
        <w:t>采购编号：</w:t>
      </w:r>
      <w:bookmarkStart w:id="1" w:name="_Hlk129091449"/>
      <w:r>
        <w:rPr>
          <w:sz w:val="24"/>
        </w:rPr>
        <w:t>JGXY-202</w:t>
      </w:r>
      <w:r>
        <w:rPr>
          <w:rFonts w:hint="eastAsia"/>
          <w:sz w:val="24"/>
          <w:lang w:val="en-US" w:eastAsia="zh-CN"/>
        </w:rPr>
        <w:t>5</w:t>
      </w:r>
      <w:r>
        <w:rPr>
          <w:sz w:val="24"/>
        </w:rPr>
        <w:t>-</w:t>
      </w:r>
      <w:r>
        <w:rPr>
          <w:rFonts w:hint="eastAsia"/>
          <w:sz w:val="24"/>
        </w:rPr>
        <w:t>0</w:t>
      </w:r>
      <w:r>
        <w:rPr>
          <w:rFonts w:hint="eastAsia"/>
          <w:sz w:val="24"/>
          <w:lang w:val="en-US" w:eastAsia="zh-CN"/>
        </w:rPr>
        <w:t>22</w:t>
      </w:r>
    </w:p>
    <w:p>
      <w:pPr>
        <w:numPr>
          <w:ilvl w:val="1"/>
          <w:numId w:val="1"/>
        </w:numPr>
        <w:spacing w:line="360" w:lineRule="auto"/>
        <w:ind w:left="420" w:firstLine="420"/>
        <w:rPr>
          <w:sz w:val="24"/>
        </w:rPr>
      </w:pPr>
      <w:r>
        <w:rPr>
          <w:rFonts w:hint="eastAsia"/>
          <w:sz w:val="24"/>
        </w:rPr>
        <w:t>项目名称：厦门大学嘉庚学院教学楼</w:t>
      </w:r>
      <w:r>
        <w:rPr>
          <w:rFonts w:hint="eastAsia"/>
          <w:sz w:val="24"/>
          <w:lang w:val="en-US" w:eastAsia="zh-CN"/>
        </w:rPr>
        <w:t>投影仪、幕布</w:t>
      </w:r>
      <w:r>
        <w:rPr>
          <w:rFonts w:hint="eastAsia"/>
          <w:sz w:val="24"/>
        </w:rPr>
        <w:t>设备采购项目</w:t>
      </w:r>
    </w:p>
    <w:bookmarkEnd w:id="1"/>
    <w:p>
      <w:pPr>
        <w:numPr>
          <w:ilvl w:val="1"/>
          <w:numId w:val="1"/>
        </w:numPr>
        <w:spacing w:line="360" w:lineRule="auto"/>
        <w:ind w:left="420" w:firstLine="420"/>
        <w:rPr>
          <w:sz w:val="24"/>
        </w:rPr>
      </w:pPr>
      <w:r>
        <w:rPr>
          <w:rFonts w:hint="eastAsia"/>
          <w:sz w:val="24"/>
        </w:rPr>
        <w:t>供货地点：厦门大学漳州校区</w:t>
      </w:r>
    </w:p>
    <w:p>
      <w:pPr>
        <w:numPr>
          <w:ilvl w:val="1"/>
          <w:numId w:val="1"/>
        </w:numPr>
        <w:spacing w:line="360" w:lineRule="auto"/>
        <w:ind w:left="420" w:firstLine="420"/>
        <w:rPr>
          <w:sz w:val="24"/>
        </w:rPr>
      </w:pPr>
      <w:r>
        <w:rPr>
          <w:rFonts w:hint="eastAsia"/>
          <w:sz w:val="24"/>
        </w:rPr>
        <w:t>交付期：合同签订后30个日历日内到货并安装调试完毕</w:t>
      </w:r>
    </w:p>
    <w:p>
      <w:pPr>
        <w:numPr>
          <w:ilvl w:val="1"/>
          <w:numId w:val="1"/>
        </w:numPr>
        <w:spacing w:line="360" w:lineRule="auto"/>
        <w:ind w:left="420" w:firstLine="420"/>
        <w:rPr>
          <w:sz w:val="24"/>
        </w:rPr>
      </w:pPr>
      <w:r>
        <w:rPr>
          <w:rFonts w:hint="eastAsia"/>
          <w:sz w:val="24"/>
        </w:rPr>
        <w:t>参与本次投标的报名时间：从发标日起，凡参加投标的供应商应于</w:t>
      </w:r>
      <w:r>
        <w:rPr>
          <w:sz w:val="24"/>
        </w:rPr>
        <w:t>202</w:t>
      </w:r>
      <w:r>
        <w:rPr>
          <w:rFonts w:hint="eastAsia"/>
          <w:sz w:val="24"/>
        </w:rPr>
        <w:t>5年</w:t>
      </w:r>
      <w:r>
        <w:rPr>
          <w:rFonts w:hint="eastAsia"/>
          <w:sz w:val="24"/>
          <w:lang w:val="en-US" w:eastAsia="zh-CN"/>
        </w:rPr>
        <w:t>10</w:t>
      </w:r>
      <w:r>
        <w:rPr>
          <w:rFonts w:hint="eastAsia"/>
          <w:sz w:val="24"/>
        </w:rPr>
        <w:t>月</w:t>
      </w:r>
      <w:r>
        <w:rPr>
          <w:rFonts w:hint="eastAsia"/>
          <w:sz w:val="24"/>
          <w:lang w:val="en-US" w:eastAsia="zh-CN"/>
        </w:rPr>
        <w:t>27</w:t>
      </w:r>
      <w:r>
        <w:rPr>
          <w:rFonts w:hint="eastAsia"/>
          <w:sz w:val="24"/>
        </w:rPr>
        <w:t>日</w:t>
      </w:r>
      <w:r>
        <w:rPr>
          <w:sz w:val="24"/>
        </w:rPr>
        <w:t>18</w:t>
      </w:r>
      <w:r>
        <w:rPr>
          <w:rFonts w:hint="eastAsia"/>
          <w:sz w:val="24"/>
        </w:rPr>
        <w:t>：</w:t>
      </w:r>
      <w:r>
        <w:rPr>
          <w:sz w:val="24"/>
        </w:rPr>
        <w:t>00</w:t>
      </w:r>
      <w:r>
        <w:rPr>
          <w:rFonts w:hint="eastAsia"/>
          <w:sz w:val="24"/>
        </w:rPr>
        <w:t>前，以书面方式（传真或快递）向厦门大学嘉庚学院资产与后勤管理部报名（</w:t>
      </w:r>
      <w:r>
        <w:rPr>
          <w:rFonts w:hint="eastAsia" w:ascii="宋体" w:hAnsi="宋体"/>
          <w:sz w:val="24"/>
        </w:rPr>
        <w:t>参加投标的报名确认单、企业法人营业执照复印件、人民银行批准的基本账户开户许可证，并加盖公司公章）</w:t>
      </w:r>
      <w:r>
        <w:rPr>
          <w:rFonts w:hint="eastAsia"/>
          <w:sz w:val="24"/>
        </w:rPr>
        <w:t>，以确认投标资格。</w:t>
      </w:r>
    </w:p>
    <w:p>
      <w:pPr>
        <w:numPr>
          <w:ilvl w:val="1"/>
          <w:numId w:val="1"/>
        </w:numPr>
        <w:spacing w:line="360" w:lineRule="auto"/>
        <w:ind w:left="420" w:firstLine="420"/>
        <w:rPr>
          <w:rFonts w:ascii="宋体" w:hAnsi="宋体"/>
          <w:sz w:val="24"/>
        </w:rPr>
      </w:pPr>
      <w:r>
        <w:rPr>
          <w:rFonts w:hint="eastAsia" w:ascii="宋体" w:hAnsi="宋体"/>
          <w:sz w:val="24"/>
        </w:rPr>
        <w:t>投标人应于</w:t>
      </w:r>
      <w:r>
        <w:rPr>
          <w:rFonts w:hint="eastAsia" w:ascii="宋体" w:hAnsi="宋体"/>
          <w:b/>
          <w:bCs/>
          <w:color w:val="FF0000"/>
          <w:sz w:val="24"/>
        </w:rPr>
        <w:t>2025年</w:t>
      </w:r>
      <w:r>
        <w:rPr>
          <w:rFonts w:hint="eastAsia" w:ascii="宋体" w:hAnsi="宋体"/>
          <w:b/>
          <w:bCs/>
          <w:color w:val="FF0000"/>
          <w:sz w:val="24"/>
          <w:lang w:val="en-US" w:eastAsia="zh-CN"/>
        </w:rPr>
        <w:t>11</w:t>
      </w:r>
      <w:r>
        <w:rPr>
          <w:rFonts w:hint="eastAsia" w:ascii="宋体" w:hAnsi="宋体"/>
          <w:b/>
          <w:bCs/>
          <w:color w:val="FF0000"/>
          <w:sz w:val="24"/>
        </w:rPr>
        <w:t>月</w:t>
      </w:r>
      <w:r>
        <w:rPr>
          <w:rFonts w:hint="eastAsia" w:ascii="宋体" w:hAnsi="宋体"/>
          <w:b/>
          <w:bCs/>
          <w:color w:val="FF0000"/>
          <w:sz w:val="24"/>
          <w:lang w:val="en-US" w:eastAsia="zh-CN"/>
        </w:rPr>
        <w:t>6</w:t>
      </w:r>
      <w:r>
        <w:rPr>
          <w:rFonts w:hint="eastAsia" w:ascii="宋体" w:hAnsi="宋体"/>
          <w:b/>
          <w:bCs/>
          <w:color w:val="FF0000"/>
          <w:sz w:val="24"/>
        </w:rPr>
        <w:t>日上午09:30前</w:t>
      </w:r>
      <w:r>
        <w:rPr>
          <w:rFonts w:hint="eastAsia" w:ascii="宋体" w:hAnsi="宋体"/>
          <w:sz w:val="24"/>
        </w:rPr>
        <w:t>（北京时间，下同）将密封并盖印章的投标文件送至厦门大学漳州校区主楼</w:t>
      </w:r>
      <w:r>
        <w:rPr>
          <w:rFonts w:hint="eastAsia" w:ascii="宋体" w:hAnsi="宋体"/>
          <w:sz w:val="24"/>
          <w:lang w:val="en-US" w:eastAsia="zh-CN"/>
        </w:rPr>
        <w:t>4</w:t>
      </w:r>
      <w:r>
        <w:rPr>
          <w:rFonts w:hint="eastAsia" w:ascii="宋体" w:hAnsi="宋体"/>
          <w:sz w:val="24"/>
        </w:rPr>
        <w:t>号楼</w:t>
      </w:r>
      <w:r>
        <w:rPr>
          <w:rFonts w:hint="eastAsia" w:ascii="宋体" w:hAnsi="宋体"/>
          <w:sz w:val="24"/>
          <w:lang w:val="en-US" w:eastAsia="zh-CN"/>
        </w:rPr>
        <w:t>201教室</w:t>
      </w:r>
      <w:r>
        <w:rPr>
          <w:rFonts w:hint="eastAsia" w:ascii="宋体" w:hAnsi="宋体"/>
          <w:sz w:val="24"/>
        </w:rPr>
        <w:t>。我部将于2025年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6</w:t>
      </w:r>
      <w:r>
        <w:rPr>
          <w:rFonts w:hint="eastAsia" w:ascii="宋体" w:hAnsi="宋体"/>
          <w:sz w:val="24"/>
        </w:rPr>
        <w:t>日上午09:30在厦门大学漳州校区主楼</w:t>
      </w:r>
      <w:r>
        <w:rPr>
          <w:rFonts w:hint="eastAsia" w:ascii="宋体" w:hAnsi="宋体"/>
          <w:sz w:val="24"/>
          <w:lang w:val="en-US" w:eastAsia="zh-CN"/>
        </w:rPr>
        <w:t>4</w:t>
      </w:r>
      <w:r>
        <w:rPr>
          <w:rFonts w:hint="eastAsia" w:ascii="宋体" w:hAnsi="宋体"/>
          <w:sz w:val="24"/>
        </w:rPr>
        <w:t>号楼</w:t>
      </w:r>
      <w:r>
        <w:rPr>
          <w:rFonts w:hint="eastAsia" w:ascii="宋体" w:hAnsi="宋体"/>
          <w:sz w:val="24"/>
          <w:lang w:val="en-US" w:eastAsia="zh-CN"/>
        </w:rPr>
        <w:t>201教室</w:t>
      </w:r>
      <w:r>
        <w:rPr>
          <w:rFonts w:hint="eastAsia" w:ascii="宋体" w:hAnsi="宋体"/>
          <w:sz w:val="24"/>
        </w:rPr>
        <w:t>开标。</w:t>
      </w:r>
    </w:p>
    <w:p>
      <w:pPr>
        <w:numPr>
          <w:ilvl w:val="1"/>
          <w:numId w:val="1"/>
        </w:numPr>
        <w:spacing w:line="360" w:lineRule="auto"/>
        <w:ind w:left="420" w:firstLine="420"/>
        <w:rPr>
          <w:b/>
          <w:bCs/>
          <w:sz w:val="24"/>
        </w:rPr>
      </w:pPr>
      <w:r>
        <w:rPr>
          <w:rFonts w:hint="eastAsia"/>
          <w:sz w:val="24"/>
        </w:rPr>
        <w:t>招标会现场的各投标方代表应为投标文件中“法定代表人授权书”中的被授权人，</w:t>
      </w:r>
      <w:r>
        <w:rPr>
          <w:rFonts w:hint="eastAsia"/>
          <w:b/>
          <w:bCs/>
          <w:sz w:val="24"/>
        </w:rPr>
        <w:t>并现场提交法定代表人授权书、身份复印件、投标保证金的银行转账回执单，身份证原件备查。</w:t>
      </w:r>
    </w:p>
    <w:p>
      <w:pPr>
        <w:numPr>
          <w:ilvl w:val="1"/>
          <w:numId w:val="1"/>
        </w:numPr>
        <w:spacing w:line="360" w:lineRule="auto"/>
        <w:ind w:left="420" w:firstLine="420"/>
        <w:rPr>
          <w:sz w:val="24"/>
        </w:rPr>
      </w:pPr>
      <w:r>
        <w:rPr>
          <w:rFonts w:hint="eastAsia"/>
          <w:sz w:val="24"/>
        </w:rPr>
        <w:t>投标方应于</w:t>
      </w:r>
      <w:r>
        <w:rPr>
          <w:sz w:val="24"/>
        </w:rPr>
        <w:t>202</w:t>
      </w:r>
      <w:r>
        <w:rPr>
          <w:rFonts w:hint="eastAsia"/>
          <w:sz w:val="24"/>
        </w:rPr>
        <w:t>5年</w:t>
      </w:r>
      <w:r>
        <w:rPr>
          <w:rFonts w:hint="eastAsia"/>
          <w:sz w:val="24"/>
          <w:lang w:val="en-US" w:eastAsia="zh-CN"/>
        </w:rPr>
        <w:t>10</w:t>
      </w:r>
      <w:r>
        <w:rPr>
          <w:rFonts w:hint="eastAsia"/>
          <w:sz w:val="24"/>
        </w:rPr>
        <w:t>月</w:t>
      </w:r>
      <w:r>
        <w:rPr>
          <w:rFonts w:hint="eastAsia"/>
          <w:sz w:val="24"/>
          <w:lang w:val="en-US" w:eastAsia="zh-CN"/>
        </w:rPr>
        <w:t>28</w:t>
      </w:r>
      <w:r>
        <w:rPr>
          <w:rFonts w:hint="eastAsia"/>
          <w:sz w:val="24"/>
        </w:rPr>
        <w:t>日</w:t>
      </w:r>
      <w:r>
        <w:rPr>
          <w:sz w:val="24"/>
        </w:rPr>
        <w:t>17</w:t>
      </w:r>
      <w:r>
        <w:rPr>
          <w:rFonts w:hint="eastAsia"/>
          <w:sz w:val="24"/>
        </w:rPr>
        <w:t>：</w:t>
      </w:r>
      <w:r>
        <w:rPr>
          <w:sz w:val="24"/>
        </w:rPr>
        <w:t>00</w:t>
      </w:r>
      <w:r>
        <w:rPr>
          <w:rFonts w:hint="eastAsia"/>
          <w:sz w:val="24"/>
        </w:rPr>
        <w:t>前，以银行转账的方式向我校缴纳投标保证金，金额为人民币</w:t>
      </w:r>
      <w:r>
        <w:rPr>
          <w:rFonts w:hint="eastAsia"/>
          <w:b/>
          <w:sz w:val="24"/>
          <w:u w:val="single"/>
          <w:lang w:val="en-US" w:eastAsia="zh-CN"/>
        </w:rPr>
        <w:t>叁</w:t>
      </w:r>
      <w:r>
        <w:rPr>
          <w:rFonts w:hint="eastAsia"/>
          <w:b/>
          <w:sz w:val="24"/>
          <w:u w:val="single"/>
        </w:rPr>
        <w:t>万</w:t>
      </w:r>
      <w:r>
        <w:rPr>
          <w:rFonts w:hint="eastAsia"/>
          <w:b/>
          <w:bCs/>
          <w:sz w:val="24"/>
          <w:u w:val="single"/>
        </w:rPr>
        <w:t>圆</w:t>
      </w:r>
      <w:r>
        <w:rPr>
          <w:rFonts w:hint="eastAsia"/>
          <w:sz w:val="24"/>
        </w:rPr>
        <w:t>整。并于</w:t>
      </w:r>
      <w:r>
        <w:rPr>
          <w:sz w:val="24"/>
        </w:rPr>
        <w:t>202</w:t>
      </w:r>
      <w:r>
        <w:rPr>
          <w:rFonts w:hint="eastAsia"/>
          <w:sz w:val="24"/>
        </w:rPr>
        <w:t>5年</w:t>
      </w:r>
      <w:r>
        <w:rPr>
          <w:rFonts w:hint="eastAsia"/>
          <w:sz w:val="24"/>
          <w:lang w:val="en-US" w:eastAsia="zh-CN"/>
        </w:rPr>
        <w:t>11</w:t>
      </w:r>
      <w:r>
        <w:rPr>
          <w:rFonts w:hint="eastAsia"/>
          <w:sz w:val="24"/>
        </w:rPr>
        <w:t>月</w:t>
      </w:r>
      <w:r>
        <w:rPr>
          <w:rFonts w:hint="eastAsia" w:ascii="宋体" w:hAnsi="宋体"/>
          <w:bCs/>
          <w:sz w:val="24"/>
          <w:lang w:val="en-US" w:eastAsia="zh-CN"/>
        </w:rPr>
        <w:t>6</w:t>
      </w:r>
      <w:r>
        <w:rPr>
          <w:rFonts w:hint="eastAsia"/>
          <w:sz w:val="24"/>
        </w:rPr>
        <w:t>日上午9：</w:t>
      </w:r>
      <w:r>
        <w:rPr>
          <w:sz w:val="24"/>
        </w:rPr>
        <w:t>30</w:t>
      </w:r>
      <w:r>
        <w:rPr>
          <w:rFonts w:hint="eastAsia"/>
          <w:sz w:val="24"/>
        </w:rPr>
        <w:t>前，将投标保证金的银行转账回执单交开标现场工作人员以确认投标资格。未提交的视为未对招标文件做出实质性响应，将取消投标资格。</w:t>
      </w:r>
    </w:p>
    <w:p>
      <w:pPr>
        <w:spacing w:line="360" w:lineRule="auto"/>
        <w:ind w:left="420" w:firstLine="480" w:firstLineChars="200"/>
        <w:rPr>
          <w:sz w:val="24"/>
        </w:rPr>
      </w:pPr>
      <w:r>
        <w:rPr>
          <w:rFonts w:hint="eastAsia"/>
          <w:sz w:val="24"/>
        </w:rPr>
        <w:t>收款单位名称：厦门大学嘉庚学院</w:t>
      </w:r>
    </w:p>
    <w:p>
      <w:pPr>
        <w:spacing w:line="360" w:lineRule="auto"/>
        <w:ind w:left="420" w:firstLine="480" w:firstLineChars="200"/>
        <w:rPr>
          <w:sz w:val="24"/>
        </w:rPr>
      </w:pPr>
      <w:r>
        <w:rPr>
          <w:rFonts w:hint="eastAsia"/>
          <w:sz w:val="24"/>
        </w:rPr>
        <w:t>开户行：中行龙海支行</w:t>
      </w:r>
      <w:bookmarkStart w:id="35" w:name="_GoBack"/>
      <w:bookmarkEnd w:id="35"/>
    </w:p>
    <w:p>
      <w:pPr>
        <w:spacing w:line="360" w:lineRule="auto"/>
        <w:ind w:left="420" w:firstLine="480" w:firstLineChars="200"/>
        <w:rPr>
          <w:sz w:val="24"/>
        </w:rPr>
      </w:pPr>
      <w:r>
        <w:rPr>
          <w:rFonts w:hint="eastAsia"/>
          <w:sz w:val="24"/>
        </w:rPr>
        <w:t>账</w:t>
      </w:r>
      <w:r>
        <w:rPr>
          <w:sz w:val="24"/>
        </w:rPr>
        <w:t xml:space="preserve">  </w:t>
      </w:r>
      <w:r>
        <w:rPr>
          <w:rFonts w:hint="eastAsia"/>
          <w:sz w:val="24"/>
        </w:rPr>
        <w:t>号：</w:t>
      </w:r>
      <w:r>
        <w:rPr>
          <w:sz w:val="24"/>
        </w:rPr>
        <w:t>4091 5837 0458</w:t>
      </w:r>
    </w:p>
    <w:p>
      <w:pPr>
        <w:spacing w:line="360" w:lineRule="auto"/>
        <w:ind w:left="420" w:firstLine="480" w:firstLineChars="200"/>
        <w:rPr>
          <w:sz w:val="24"/>
        </w:rPr>
      </w:pPr>
      <w:r>
        <w:rPr>
          <w:rFonts w:hint="eastAsia"/>
          <w:sz w:val="24"/>
        </w:rPr>
        <w:t>注</w:t>
      </w:r>
      <w:r>
        <w:rPr>
          <w:sz w:val="24"/>
        </w:rPr>
        <w:t xml:space="preserve">  </w:t>
      </w:r>
      <w:r>
        <w:rPr>
          <w:rFonts w:hint="eastAsia"/>
          <w:sz w:val="24"/>
        </w:rPr>
        <w:t>意：转款时，请在进账单据中注明投标保证金、投标项目名称。</w:t>
      </w:r>
    </w:p>
    <w:p>
      <w:pPr>
        <w:numPr>
          <w:ilvl w:val="1"/>
          <w:numId w:val="1"/>
        </w:numPr>
        <w:spacing w:line="360" w:lineRule="auto"/>
        <w:ind w:left="420" w:firstLine="420"/>
        <w:rPr>
          <w:sz w:val="24"/>
        </w:rPr>
      </w:pPr>
      <w:r>
        <w:rPr>
          <w:rFonts w:hint="eastAsia"/>
          <w:sz w:val="24"/>
        </w:rPr>
        <w:t>凡对本批招标提出询问，请在</w:t>
      </w:r>
      <w:r>
        <w:rPr>
          <w:sz w:val="24"/>
        </w:rPr>
        <w:t>202</w:t>
      </w:r>
      <w:r>
        <w:rPr>
          <w:rFonts w:hint="eastAsia"/>
          <w:sz w:val="24"/>
        </w:rPr>
        <w:t>5年</w:t>
      </w:r>
      <w:r>
        <w:rPr>
          <w:rFonts w:hint="eastAsia"/>
          <w:sz w:val="24"/>
          <w:lang w:val="en-US" w:eastAsia="zh-CN"/>
        </w:rPr>
        <w:t>10</w:t>
      </w:r>
      <w:r>
        <w:rPr>
          <w:rFonts w:hint="eastAsia"/>
          <w:sz w:val="24"/>
        </w:rPr>
        <w:t>月</w:t>
      </w:r>
      <w:r>
        <w:rPr>
          <w:rFonts w:hint="eastAsia"/>
          <w:sz w:val="24"/>
          <w:lang w:val="en-US" w:eastAsia="zh-CN"/>
        </w:rPr>
        <w:t>27</w:t>
      </w:r>
      <w:r>
        <w:rPr>
          <w:rFonts w:hint="eastAsia"/>
          <w:sz w:val="24"/>
        </w:rPr>
        <w:t>日</w:t>
      </w:r>
      <w:r>
        <w:rPr>
          <w:sz w:val="24"/>
        </w:rPr>
        <w:t>18:00</w:t>
      </w:r>
      <w:r>
        <w:rPr>
          <w:rFonts w:hint="eastAsia"/>
          <w:sz w:val="24"/>
        </w:rPr>
        <w:t>之前以信函、邮件形式，与厦门大学嘉庚学院资产与后勤管理部联系。</w:t>
      </w:r>
    </w:p>
    <w:p>
      <w:pPr>
        <w:numPr>
          <w:ilvl w:val="1"/>
          <w:numId w:val="1"/>
        </w:numPr>
        <w:spacing w:line="360" w:lineRule="auto"/>
        <w:ind w:left="420" w:firstLine="420"/>
        <w:rPr>
          <w:color w:val="FF0000"/>
          <w:sz w:val="24"/>
        </w:rPr>
      </w:pPr>
      <w:r>
        <w:rPr>
          <w:rFonts w:hint="eastAsia"/>
          <w:color w:val="FF0000"/>
          <w:sz w:val="24"/>
        </w:rPr>
        <w:t>投标单位报名通过且按要求交纳投标保证金后，招标方将寄出一份投标确认函，此份投标确认函的原件需放置于投标文件</w:t>
      </w:r>
      <w:r>
        <w:rPr>
          <w:rFonts w:hint="eastAsia"/>
          <w:b/>
          <w:bCs/>
          <w:color w:val="FF0000"/>
          <w:sz w:val="24"/>
        </w:rPr>
        <w:t>正本</w:t>
      </w:r>
      <w:r>
        <w:rPr>
          <w:rFonts w:hint="eastAsia"/>
          <w:color w:val="FF0000"/>
          <w:sz w:val="24"/>
        </w:rPr>
        <w:t>中一同装订，视为投标文件的组成部分。</w:t>
      </w:r>
    </w:p>
    <w:p>
      <w:pPr>
        <w:spacing w:line="360" w:lineRule="auto"/>
        <w:ind w:left="420" w:firstLine="480" w:firstLineChars="200"/>
        <w:rPr>
          <w:sz w:val="24"/>
        </w:rPr>
      </w:pPr>
      <w:r>
        <w:rPr>
          <w:rFonts w:hint="eastAsia"/>
          <w:sz w:val="24"/>
        </w:rPr>
        <w:t>地</w:t>
      </w:r>
      <w:r>
        <w:rPr>
          <w:sz w:val="24"/>
        </w:rPr>
        <w:t xml:space="preserve">  </w:t>
      </w:r>
      <w:r>
        <w:rPr>
          <w:rFonts w:hint="eastAsia"/>
          <w:sz w:val="24"/>
        </w:rPr>
        <w:t>址：福建省·招商局漳州开发区厦门大学漳州校区</w:t>
      </w:r>
    </w:p>
    <w:p>
      <w:pPr>
        <w:spacing w:line="360" w:lineRule="auto"/>
        <w:ind w:left="420" w:firstLine="480" w:firstLineChars="200"/>
        <w:rPr>
          <w:sz w:val="24"/>
        </w:rPr>
      </w:pPr>
      <w:r>
        <w:rPr>
          <w:rFonts w:hint="eastAsia"/>
          <w:sz w:val="24"/>
        </w:rPr>
        <w:t>联系人：江老师、叶老师、</w:t>
      </w:r>
      <w:r>
        <w:rPr>
          <w:rFonts w:hint="eastAsia"/>
          <w:sz w:val="24"/>
          <w:lang w:val="en-US" w:eastAsia="zh-CN"/>
        </w:rPr>
        <w:t>沈老师、</w:t>
      </w:r>
      <w:r>
        <w:rPr>
          <w:rFonts w:hint="eastAsia"/>
          <w:sz w:val="24"/>
        </w:rPr>
        <w:t>蒋老师</w:t>
      </w:r>
    </w:p>
    <w:p>
      <w:pPr>
        <w:spacing w:line="360" w:lineRule="auto"/>
        <w:ind w:left="420" w:firstLine="480" w:firstLineChars="200"/>
        <w:rPr>
          <w:rFonts w:hint="default" w:eastAsia="宋体"/>
          <w:sz w:val="24"/>
          <w:lang w:val="en-US" w:eastAsia="zh-CN"/>
        </w:rPr>
      </w:pPr>
      <w:r>
        <w:rPr>
          <w:rFonts w:hint="eastAsia"/>
          <w:sz w:val="24"/>
        </w:rPr>
        <w:t>电</w:t>
      </w:r>
      <w:r>
        <w:rPr>
          <w:sz w:val="24"/>
        </w:rPr>
        <w:t xml:space="preserve">  </w:t>
      </w:r>
      <w:r>
        <w:rPr>
          <w:rFonts w:hint="eastAsia"/>
          <w:sz w:val="24"/>
        </w:rPr>
        <w:t>话：</w:t>
      </w:r>
      <w:r>
        <w:rPr>
          <w:sz w:val="24"/>
        </w:rPr>
        <w:t>0596-</w:t>
      </w:r>
      <w:r>
        <w:rPr>
          <w:rFonts w:hint="eastAsia"/>
          <w:sz w:val="24"/>
        </w:rPr>
        <w:t>6</w:t>
      </w:r>
      <w:r>
        <w:rPr>
          <w:sz w:val="24"/>
        </w:rPr>
        <w:t>28</w:t>
      </w:r>
      <w:r>
        <w:rPr>
          <w:rFonts w:hint="eastAsia"/>
          <w:sz w:val="24"/>
        </w:rPr>
        <w:t>8778、6289291、628</w:t>
      </w:r>
      <w:r>
        <w:rPr>
          <w:rFonts w:hint="eastAsia"/>
          <w:sz w:val="24"/>
          <w:lang w:val="en-US" w:eastAsia="zh-CN"/>
        </w:rPr>
        <w:t>88716、6288526</w:t>
      </w:r>
    </w:p>
    <w:p>
      <w:pPr>
        <w:spacing w:line="360" w:lineRule="auto"/>
        <w:ind w:left="420" w:firstLine="480" w:firstLineChars="200"/>
        <w:rPr>
          <w:sz w:val="24"/>
        </w:rPr>
      </w:pPr>
      <w:r>
        <w:rPr>
          <w:rFonts w:hint="eastAsia"/>
          <w:sz w:val="24"/>
        </w:rPr>
        <w:t>传</w:t>
      </w:r>
      <w:r>
        <w:rPr>
          <w:sz w:val="24"/>
        </w:rPr>
        <w:t xml:space="preserve">  </w:t>
      </w:r>
      <w:r>
        <w:rPr>
          <w:rFonts w:hint="eastAsia"/>
          <w:sz w:val="24"/>
        </w:rPr>
        <w:t>真：</w:t>
      </w:r>
      <w:r>
        <w:rPr>
          <w:sz w:val="24"/>
        </w:rPr>
        <w:t>0596-6288224</w:t>
      </w:r>
    </w:p>
    <w:p>
      <w:pPr>
        <w:spacing w:line="360" w:lineRule="auto"/>
        <w:ind w:left="420" w:firstLine="480" w:firstLineChars="200"/>
        <w:rPr>
          <w:sz w:val="24"/>
        </w:rPr>
      </w:pPr>
      <w:r>
        <w:rPr>
          <w:rFonts w:hint="eastAsia"/>
          <w:sz w:val="24"/>
        </w:rPr>
        <w:t>网</w:t>
      </w:r>
      <w:r>
        <w:rPr>
          <w:sz w:val="24"/>
        </w:rPr>
        <w:t xml:space="preserve">  </w:t>
      </w:r>
      <w:r>
        <w:rPr>
          <w:rFonts w:hint="eastAsia"/>
          <w:sz w:val="24"/>
        </w:rPr>
        <w:t>址：</w:t>
      </w:r>
      <w:r>
        <w:rPr>
          <w:sz w:val="24"/>
        </w:rPr>
        <w:t>http://zchq.xujc.com</w:t>
      </w:r>
    </w:p>
    <w:p>
      <w:pPr>
        <w:spacing w:line="360" w:lineRule="auto"/>
        <w:ind w:left="2099" w:leftChars="428" w:hanging="1200" w:hangingChars="500"/>
        <w:rPr>
          <w:rFonts w:hint="eastAsia" w:eastAsia="宋体"/>
          <w:sz w:val="24"/>
          <w:lang w:eastAsia="zh-CN"/>
        </w:rPr>
      </w:pPr>
      <w:r>
        <w:rPr>
          <w:sz w:val="24"/>
        </w:rPr>
        <w:t>Email</w:t>
      </w:r>
      <w:r>
        <w:rPr>
          <w:rFonts w:hint="eastAsia"/>
          <w:sz w:val="24"/>
        </w:rPr>
        <w:t>：</w:t>
      </w:r>
      <w:r>
        <w:fldChar w:fldCharType="begin"/>
      </w:r>
      <w:r>
        <w:instrText xml:space="preserve"> HYPERLINK "mailto:linxr@xujc.com" </w:instrText>
      </w:r>
      <w:r>
        <w:fldChar w:fldCharType="separate"/>
      </w:r>
      <w:r>
        <w:rPr>
          <w:rFonts w:hint="eastAsia"/>
          <w:sz w:val="24"/>
        </w:rPr>
        <w:t>jiangtk@xujc.com</w:t>
      </w:r>
      <w:r>
        <w:rPr>
          <w:rFonts w:hint="eastAsia"/>
          <w:sz w:val="24"/>
        </w:rPr>
        <w:fldChar w:fldCharType="end"/>
      </w:r>
      <w:r>
        <w:rPr>
          <w:rFonts w:hint="eastAsia"/>
          <w:sz w:val="24"/>
        </w:rPr>
        <w:t>、</w:t>
      </w:r>
      <w:r>
        <w:fldChar w:fldCharType="begin"/>
      </w:r>
      <w:r>
        <w:instrText xml:space="preserve"> HYPERLINK "mailto:wnye@xujc.com" </w:instrText>
      </w:r>
      <w:r>
        <w:fldChar w:fldCharType="separate"/>
      </w:r>
      <w:r>
        <w:t>wnye</w:t>
      </w:r>
      <w:r>
        <w:rPr>
          <w:rStyle w:val="14"/>
          <w:rFonts w:hint="eastAsia"/>
          <w:sz w:val="24"/>
        </w:rPr>
        <w:t>@xujc.com</w:t>
      </w:r>
      <w:r>
        <w:rPr>
          <w:rStyle w:val="14"/>
          <w:rFonts w:hint="eastAsia"/>
          <w:sz w:val="24"/>
        </w:rPr>
        <w:fldChar w:fldCharType="end"/>
      </w:r>
      <w:r>
        <w:rPr>
          <w:rFonts w:hint="eastAsia"/>
          <w:sz w:val="24"/>
        </w:rPr>
        <w:t>、</w:t>
      </w:r>
      <w:r>
        <w:fldChar w:fldCharType="begin"/>
      </w:r>
      <w:r>
        <w:instrText xml:space="preserve"> HYPERLINK "mailto:jiangjc@xujc.com" </w:instrText>
      </w:r>
      <w:r>
        <w:fldChar w:fldCharType="separate"/>
      </w:r>
      <w:r>
        <w:rPr>
          <w:rFonts w:hint="eastAsia"/>
          <w:sz w:val="24"/>
        </w:rPr>
        <w:t>st1109</w:t>
      </w:r>
      <w:r>
        <w:rPr>
          <w:rStyle w:val="14"/>
          <w:color w:val="auto"/>
          <w:sz w:val="24"/>
        </w:rPr>
        <w:t>@xujc.com</w:t>
      </w:r>
      <w:r>
        <w:rPr>
          <w:rStyle w:val="14"/>
          <w:color w:val="auto"/>
          <w:sz w:val="24"/>
        </w:rPr>
        <w:fldChar w:fldCharType="end"/>
      </w:r>
      <w:r>
        <w:rPr>
          <w:rStyle w:val="14"/>
          <w:rFonts w:hint="eastAsia"/>
          <w:color w:val="auto"/>
          <w:sz w:val="24"/>
          <w:lang w:eastAsia="zh-CN"/>
        </w:rPr>
        <w:t>、jiangjc</w:t>
      </w:r>
      <w:r>
        <w:rPr>
          <w:rStyle w:val="14"/>
          <w:color w:val="auto"/>
          <w:sz w:val="24"/>
        </w:rPr>
        <w:t>@xujc.com</w:t>
      </w:r>
    </w:p>
    <w:p>
      <w:pPr>
        <w:spacing w:line="360" w:lineRule="auto"/>
        <w:ind w:left="420" w:firstLine="480" w:firstLineChars="200"/>
        <w:rPr>
          <w:sz w:val="24"/>
        </w:rPr>
      </w:pPr>
      <w:r>
        <w:rPr>
          <w:rFonts w:hint="eastAsia"/>
          <w:sz w:val="24"/>
        </w:rPr>
        <w:t>邮</w:t>
      </w:r>
      <w:r>
        <w:rPr>
          <w:sz w:val="24"/>
        </w:rPr>
        <w:t xml:space="preserve"> </w:t>
      </w:r>
      <w:r>
        <w:rPr>
          <w:rFonts w:hint="eastAsia"/>
          <w:sz w:val="24"/>
        </w:rPr>
        <w:t>编：</w:t>
      </w:r>
      <w:r>
        <w:rPr>
          <w:sz w:val="24"/>
        </w:rPr>
        <w:t>363105</w:t>
      </w:r>
    </w:p>
    <w:p>
      <w:pPr>
        <w:widowControl/>
        <w:jc w:val="left"/>
        <w:rPr>
          <w:sz w:val="28"/>
          <w:szCs w:val="28"/>
        </w:rPr>
        <w:sectPr>
          <w:footerReference r:id="rId4" w:type="default"/>
          <w:pgSz w:w="11906" w:h="16838"/>
          <w:pgMar w:top="964" w:right="1191" w:bottom="964" w:left="1191" w:header="851" w:footer="992" w:gutter="0"/>
          <w:pgNumType w:fmt="numberInDash" w:start="1"/>
          <w:cols w:space="720" w:num="1"/>
          <w:docGrid w:type="lines" w:linePitch="312" w:charSpace="0"/>
        </w:sectPr>
      </w:pPr>
    </w:p>
    <w:p>
      <w:pPr>
        <w:pStyle w:val="2"/>
        <w:numPr>
          <w:ilvl w:val="0"/>
          <w:numId w:val="1"/>
        </w:numPr>
        <w:jc w:val="center"/>
      </w:pPr>
      <w:bookmarkStart w:id="2" w:name="_Toc20752_WPSOffice_Level1"/>
      <w:bookmarkStart w:id="3" w:name="_Toc153463828"/>
      <w:r>
        <w:rPr>
          <w:rFonts w:hint="eastAsia"/>
        </w:rPr>
        <w:t>采购项目说明及要求</w:t>
      </w:r>
      <w:bookmarkEnd w:id="2"/>
      <w:bookmarkEnd w:id="3"/>
    </w:p>
    <w:p>
      <w:pPr>
        <w:numPr>
          <w:ilvl w:val="0"/>
          <w:numId w:val="2"/>
        </w:numPr>
        <w:spacing w:line="360" w:lineRule="auto"/>
        <w:rPr>
          <w:b/>
          <w:bCs/>
          <w:sz w:val="24"/>
        </w:rPr>
      </w:pPr>
      <w:r>
        <w:rPr>
          <w:rFonts w:hint="eastAsia"/>
          <w:b/>
          <w:bCs/>
          <w:sz w:val="24"/>
        </w:rPr>
        <w:t>采购项目：</w:t>
      </w:r>
      <w:r>
        <w:rPr>
          <w:rFonts w:hint="eastAsia"/>
          <w:b/>
          <w:bCs/>
          <w:sz w:val="24"/>
          <w:lang w:val="en-US" w:eastAsia="zh-CN"/>
        </w:rPr>
        <w:t>投影仪、幕布设备</w:t>
      </w:r>
    </w:p>
    <w:tbl>
      <w:tblPr>
        <w:tblStyle w:val="12"/>
        <w:tblpPr w:leftFromText="180" w:rightFromText="180" w:vertAnchor="text" w:tblpXSpec="center" w:tblpY="1"/>
        <w:tblOverlap w:val="never"/>
        <w:tblW w:w="533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720"/>
        <w:gridCol w:w="5618"/>
        <w:gridCol w:w="800"/>
        <w:gridCol w:w="870"/>
        <w:gridCol w:w="99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9"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序号</w:t>
            </w:r>
          </w:p>
        </w:tc>
        <w:tc>
          <w:tcPr>
            <w:tcW w:w="346" w:type="pct"/>
            <w:tcBorders>
              <w:top w:val="single" w:color="auto" w:sz="4" w:space="0"/>
              <w:left w:val="single" w:color="000000" w:sz="4" w:space="0"/>
              <w:bottom w:val="single" w:color="auto" w:sz="4" w:space="0"/>
              <w:right w:val="single" w:color="000000" w:sz="4" w:space="0"/>
            </w:tcBorders>
            <w:vAlign w:val="center"/>
          </w:tcPr>
          <w:p>
            <w:pPr>
              <w:jc w:val="center"/>
              <w:rPr>
                <w:rFonts w:hint="default" w:ascii="宋体" w:hAnsi="宋体" w:eastAsia="宋体" w:cs="宋体"/>
                <w:bCs/>
                <w:color w:val="000000"/>
                <w:kern w:val="0"/>
                <w:sz w:val="18"/>
                <w:szCs w:val="18"/>
                <w:lang w:val="en-US" w:eastAsia="zh-CN"/>
              </w:rPr>
            </w:pPr>
            <w:r>
              <w:rPr>
                <w:rFonts w:hint="eastAsia" w:ascii="宋体" w:hAnsi="宋体" w:cs="宋体"/>
                <w:bCs/>
                <w:color w:val="000000"/>
                <w:kern w:val="0"/>
                <w:sz w:val="18"/>
                <w:szCs w:val="18"/>
                <w:lang w:val="en-US" w:eastAsia="zh-CN"/>
              </w:rPr>
              <w:t>设备名称</w:t>
            </w:r>
          </w:p>
        </w:tc>
        <w:tc>
          <w:tcPr>
            <w:tcW w:w="2702" w:type="pct"/>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sz w:val="18"/>
                <w:szCs w:val="18"/>
              </w:rPr>
            </w:pPr>
            <w:r>
              <w:rPr>
                <w:rFonts w:hint="eastAsia" w:ascii="宋体" w:hAnsi="宋体" w:cs="宋体"/>
                <w:bCs/>
                <w:color w:val="000000"/>
                <w:kern w:val="0"/>
                <w:sz w:val="18"/>
                <w:szCs w:val="18"/>
              </w:rPr>
              <w:t>规格型号及技术参数</w:t>
            </w:r>
          </w:p>
        </w:tc>
        <w:tc>
          <w:tcPr>
            <w:tcW w:w="38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数量</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单价</w:t>
            </w:r>
          </w:p>
        </w:tc>
        <w:tc>
          <w:tcPr>
            <w:tcW w:w="4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合计</w:t>
            </w:r>
          </w:p>
        </w:tc>
        <w:tc>
          <w:tcPr>
            <w:tcW w:w="37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4"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1</w:t>
            </w:r>
          </w:p>
        </w:tc>
        <w:tc>
          <w:tcPr>
            <w:tcW w:w="346" w:type="pc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宋体" w:hAnsi="宋体" w:eastAsia="宋体" w:cs="宋体"/>
                <w:bCs/>
                <w:color w:val="000000"/>
                <w:kern w:val="0"/>
                <w:sz w:val="18"/>
                <w:szCs w:val="18"/>
                <w:lang w:val="en-US" w:eastAsia="zh-CN"/>
              </w:rPr>
            </w:pPr>
            <w:r>
              <w:rPr>
                <w:rFonts w:hint="eastAsia" w:ascii="宋体" w:hAnsi="宋体" w:cs="宋体"/>
                <w:bCs/>
                <w:color w:val="000000"/>
                <w:kern w:val="0"/>
                <w:sz w:val="18"/>
                <w:szCs w:val="18"/>
                <w:lang w:val="en-US" w:eastAsia="zh-CN"/>
              </w:rPr>
              <w:t>投  影  仪</w:t>
            </w:r>
          </w:p>
        </w:tc>
        <w:tc>
          <w:tcPr>
            <w:tcW w:w="2702" w:type="pct"/>
            <w:tcBorders>
              <w:top w:val="single" w:color="auto" w:sz="4" w:space="0"/>
              <w:left w:val="single" w:color="000000" w:sz="4" w:space="0"/>
              <w:bottom w:val="single" w:color="auto" w:sz="4" w:space="0"/>
              <w:right w:val="single" w:color="000000" w:sz="4" w:space="0"/>
            </w:tcBorders>
          </w:tcPr>
          <w:p>
            <w:pPr>
              <w:spacing w:line="300" w:lineRule="exact"/>
              <w:rPr>
                <w:rFonts w:hint="eastAsia" w:ascii="宋体" w:hAnsi="宋体" w:cs="宋体"/>
                <w:b/>
                <w:color w:val="EE0000"/>
                <w:kern w:val="0"/>
                <w:sz w:val="20"/>
                <w:szCs w:val="20"/>
              </w:rPr>
            </w:pPr>
            <w:r>
              <w:rPr>
                <w:rFonts w:hint="eastAsia" w:ascii="宋体" w:hAnsi="宋体" w:cs="宋体"/>
                <w:bCs/>
                <w:color w:val="000000"/>
                <w:kern w:val="0"/>
                <w:sz w:val="18"/>
                <w:szCs w:val="18"/>
              </w:rPr>
              <w:t>推荐品牌：爱普生、松下、 SHARP/NEC</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★1．亮度≥5000流明；</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★2．标准分辨率≥1920×1200；W</w:t>
            </w:r>
            <w:r>
              <w:rPr>
                <w:rFonts w:ascii="宋体" w:hAnsi="宋体" w:cs="宋体"/>
                <w:bCs/>
                <w:color w:val="000000"/>
                <w:kern w:val="0"/>
                <w:sz w:val="18"/>
                <w:szCs w:val="18"/>
              </w:rPr>
              <w:t>U</w:t>
            </w:r>
            <w:r>
              <w:rPr>
                <w:rFonts w:hint="eastAsia" w:ascii="宋体" w:hAnsi="宋体" w:cs="宋体"/>
                <w:bCs/>
                <w:color w:val="000000"/>
                <w:kern w:val="0"/>
                <w:sz w:val="18"/>
                <w:szCs w:val="18"/>
              </w:rPr>
              <w:t>XGA；</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3．对比度≥2500000:1；</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★4、成像技术：3LCD技术；液晶显示板≥ 0.59英寸；</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★5．光源类型：激光二极管；光源寿命：20000小时；</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6．整机功率：正常模式≤320W；</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7．投射比：1.3-2.1；</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★8．镜头位移：支持垂直、水平位移；</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9．支持垂直、水平梯形校正，≥（垂直±25%， 水平±30%）同时还可以调整投射画面的四角和四边的位置，适于在复杂环境下对不规则画面的校正；</w:t>
            </w:r>
            <w:r>
              <w:rPr>
                <w:rFonts w:ascii="宋体" w:hAnsi="宋体" w:cs="宋体"/>
                <w:bCs/>
                <w:color w:val="000000"/>
                <w:kern w:val="0"/>
                <w:sz w:val="18"/>
                <w:szCs w:val="18"/>
              </w:rPr>
              <w:t xml:space="preserve"> </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★1</w:t>
            </w:r>
            <w:r>
              <w:rPr>
                <w:rFonts w:ascii="宋体" w:hAnsi="宋体" w:cs="宋体"/>
                <w:bCs/>
                <w:color w:val="000000"/>
                <w:kern w:val="0"/>
                <w:sz w:val="18"/>
                <w:szCs w:val="18"/>
              </w:rPr>
              <w:t>0</w:t>
            </w:r>
            <w:r>
              <w:rPr>
                <w:rFonts w:hint="eastAsia" w:ascii="宋体" w:hAnsi="宋体" w:cs="宋体"/>
                <w:bCs/>
                <w:color w:val="000000"/>
                <w:kern w:val="0"/>
                <w:sz w:val="18"/>
                <w:szCs w:val="18"/>
              </w:rPr>
              <w:t>．接口：HDMI输入≥1，D-sub 15-pin电脑输入*1，</w:t>
            </w:r>
            <w:r>
              <w:rPr>
                <w:rFonts w:hint="eastAsia" w:ascii="宋体" w:hAnsi="宋体" w:cs="宋体"/>
                <w:bCs/>
                <w:kern w:val="0"/>
                <w:sz w:val="18"/>
                <w:szCs w:val="18"/>
              </w:rPr>
              <w:t>HDBaseT接口*1</w:t>
            </w:r>
            <w:r>
              <w:rPr>
                <w:rFonts w:hint="eastAsia" w:ascii="宋体" w:hAnsi="宋体" w:cs="宋体"/>
                <w:bCs/>
                <w:color w:val="000000"/>
                <w:kern w:val="0"/>
                <w:sz w:val="18"/>
                <w:szCs w:val="18"/>
              </w:rPr>
              <w:t>，串口RS-232C*1；</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1</w:t>
            </w:r>
            <w:r>
              <w:rPr>
                <w:rFonts w:ascii="宋体" w:hAnsi="宋体" w:cs="宋体"/>
                <w:bCs/>
                <w:color w:val="000000"/>
                <w:kern w:val="0"/>
                <w:sz w:val="18"/>
                <w:szCs w:val="18"/>
              </w:rPr>
              <w:t>1</w:t>
            </w:r>
            <w:r>
              <w:rPr>
                <w:rFonts w:hint="eastAsia" w:ascii="宋体" w:hAnsi="宋体" w:cs="宋体"/>
                <w:bCs/>
                <w:color w:val="000000"/>
                <w:kern w:val="0"/>
                <w:sz w:val="18"/>
                <w:szCs w:val="18"/>
              </w:rPr>
              <w:t>．其它配件：DB9免焊接头RS232；</w:t>
            </w:r>
          </w:p>
          <w:p>
            <w:pPr>
              <w:spacing w:line="300" w:lineRule="exact"/>
              <w:rPr>
                <w:rFonts w:hint="eastAsia" w:ascii="宋体" w:hAnsi="宋体" w:cs="宋体"/>
                <w:bCs/>
                <w:color w:val="000000"/>
                <w:kern w:val="0"/>
                <w:sz w:val="18"/>
                <w:szCs w:val="18"/>
              </w:rPr>
            </w:pPr>
            <w:r>
              <w:rPr>
                <w:rFonts w:hint="eastAsia" w:ascii="宋体" w:hAnsi="宋体" w:cs="宋体"/>
                <w:bCs/>
                <w:color w:val="000000"/>
                <w:kern w:val="0"/>
                <w:sz w:val="18"/>
                <w:szCs w:val="18"/>
              </w:rPr>
              <w:t>1</w:t>
            </w:r>
            <w:r>
              <w:rPr>
                <w:rFonts w:ascii="宋体" w:hAnsi="宋体" w:cs="宋体"/>
                <w:bCs/>
                <w:color w:val="000000"/>
                <w:kern w:val="0"/>
                <w:sz w:val="18"/>
                <w:szCs w:val="18"/>
              </w:rPr>
              <w:t>2</w:t>
            </w:r>
            <w:r>
              <w:rPr>
                <w:rFonts w:hint="eastAsia" w:ascii="宋体" w:hAnsi="宋体" w:cs="宋体"/>
                <w:bCs/>
                <w:color w:val="000000"/>
                <w:kern w:val="0"/>
                <w:sz w:val="18"/>
                <w:szCs w:val="18"/>
              </w:rPr>
              <w:t>．保修期：产品整机≥5年；</w:t>
            </w:r>
          </w:p>
        </w:tc>
        <w:tc>
          <w:tcPr>
            <w:tcW w:w="38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33台</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4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37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36"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2</w:t>
            </w:r>
          </w:p>
        </w:tc>
        <w:tc>
          <w:tcPr>
            <w:tcW w:w="346" w:type="pct"/>
            <w:tcBorders>
              <w:top w:val="single" w:color="auto" w:sz="4" w:space="0"/>
              <w:left w:val="single" w:color="000000" w:sz="4" w:space="0"/>
              <w:bottom w:val="single" w:color="auto" w:sz="4" w:space="0"/>
              <w:right w:val="single" w:color="000000" w:sz="4" w:space="0"/>
            </w:tcBorders>
            <w:vAlign w:val="center"/>
          </w:tcPr>
          <w:p>
            <w:pPr>
              <w:spacing w:line="300" w:lineRule="exact"/>
              <w:ind w:left="178" w:leftChars="85" w:firstLine="0" w:firstLineChars="0"/>
              <w:jc w:val="both"/>
              <w:rPr>
                <w:rFonts w:hint="eastAsia" w:ascii="宋体" w:hAnsi="宋体"/>
                <w:kern w:val="0"/>
                <w:sz w:val="20"/>
                <w:szCs w:val="21"/>
              </w:rPr>
            </w:pPr>
            <w:r>
              <w:rPr>
                <w:rFonts w:hint="eastAsia" w:ascii="宋体" w:hAnsi="宋体"/>
                <w:sz w:val="18"/>
                <w:szCs w:val="18"/>
              </w:rPr>
              <w:t>幕</w:t>
            </w:r>
            <w:r>
              <w:rPr>
                <w:rFonts w:hint="eastAsia" w:ascii="宋体" w:hAnsi="宋体"/>
                <w:sz w:val="18"/>
                <w:szCs w:val="18"/>
                <w:lang w:val="en-US" w:eastAsia="zh-CN"/>
              </w:rPr>
              <w:t xml:space="preserve">  </w:t>
            </w:r>
            <w:r>
              <w:rPr>
                <w:rFonts w:hint="eastAsia" w:ascii="宋体" w:hAnsi="宋体"/>
                <w:sz w:val="18"/>
                <w:szCs w:val="18"/>
              </w:rPr>
              <w:t>布150寸</w:t>
            </w:r>
          </w:p>
        </w:tc>
        <w:tc>
          <w:tcPr>
            <w:tcW w:w="2702" w:type="pct"/>
            <w:tcBorders>
              <w:top w:val="single" w:color="auto" w:sz="4" w:space="0"/>
              <w:left w:val="single" w:color="000000" w:sz="4" w:space="0"/>
              <w:bottom w:val="single" w:color="auto" w:sz="4" w:space="0"/>
              <w:right w:val="single" w:color="000000" w:sz="4" w:space="0"/>
            </w:tcBorders>
          </w:tcPr>
          <w:p>
            <w:pPr>
              <w:spacing w:line="300" w:lineRule="exact"/>
              <w:rPr>
                <w:rFonts w:hint="eastAsia" w:ascii="宋体" w:hAnsi="宋体"/>
                <w:kern w:val="0"/>
                <w:sz w:val="18"/>
                <w:szCs w:val="18"/>
              </w:rPr>
            </w:pPr>
            <w:r>
              <w:rPr>
                <w:rFonts w:hint="eastAsia" w:ascii="宋体" w:hAnsi="宋体"/>
                <w:kern w:val="0"/>
                <w:sz w:val="18"/>
                <w:szCs w:val="18"/>
              </w:rPr>
              <w:t>1．尺寸：150寸；画面比例16:9或16:10；</w:t>
            </w:r>
          </w:p>
          <w:p>
            <w:pPr>
              <w:spacing w:line="300" w:lineRule="exact"/>
              <w:rPr>
                <w:rFonts w:hint="eastAsia" w:ascii="宋体" w:hAnsi="宋体"/>
                <w:kern w:val="0"/>
                <w:sz w:val="18"/>
                <w:szCs w:val="18"/>
              </w:rPr>
            </w:pPr>
            <w:r>
              <w:rPr>
                <w:rFonts w:hint="eastAsia" w:ascii="宋体" w:hAnsi="宋体"/>
                <w:kern w:val="0"/>
                <w:sz w:val="18"/>
                <w:szCs w:val="18"/>
              </w:rPr>
              <w:t>2．采用管状电机，幕布升降宁静流畅无噪音；</w:t>
            </w:r>
          </w:p>
          <w:p>
            <w:pPr>
              <w:spacing w:line="300" w:lineRule="exact"/>
              <w:rPr>
                <w:rFonts w:hint="eastAsia" w:ascii="宋体" w:hAnsi="宋体"/>
                <w:kern w:val="0"/>
                <w:sz w:val="18"/>
                <w:szCs w:val="18"/>
              </w:rPr>
            </w:pPr>
            <w:r>
              <w:rPr>
                <w:rFonts w:hint="eastAsia" w:ascii="宋体" w:hAnsi="宋体"/>
                <w:kern w:val="0"/>
                <w:sz w:val="18"/>
                <w:szCs w:val="18"/>
              </w:rPr>
              <w:t>3．幕面采用优质玻纤投影幕布；</w:t>
            </w:r>
          </w:p>
          <w:p>
            <w:pPr>
              <w:spacing w:line="300" w:lineRule="exact"/>
              <w:rPr>
                <w:rFonts w:hint="eastAsia" w:ascii="宋体" w:hAnsi="宋体"/>
                <w:kern w:val="0"/>
                <w:sz w:val="18"/>
                <w:szCs w:val="18"/>
              </w:rPr>
            </w:pPr>
            <w:r>
              <w:rPr>
                <w:rFonts w:hint="eastAsia" w:ascii="宋体" w:hAnsi="宋体"/>
                <w:kern w:val="0"/>
                <w:sz w:val="18"/>
                <w:szCs w:val="18"/>
              </w:rPr>
              <w:t>4．经久耐用，防霉，阻燃，无异味，不褪色，不发黄，不变形；</w:t>
            </w:r>
          </w:p>
          <w:p>
            <w:pPr>
              <w:spacing w:line="300" w:lineRule="exact"/>
              <w:rPr>
                <w:rFonts w:hint="eastAsia" w:ascii="宋体" w:hAnsi="宋体"/>
                <w:kern w:val="0"/>
                <w:sz w:val="18"/>
                <w:szCs w:val="18"/>
              </w:rPr>
            </w:pPr>
            <w:r>
              <w:rPr>
                <w:rFonts w:hint="eastAsia" w:ascii="宋体" w:hAnsi="宋体"/>
                <w:kern w:val="0"/>
                <w:sz w:val="18"/>
                <w:szCs w:val="18"/>
              </w:rPr>
              <w:t>5．采用直边裁剪无压印拉幕线；投影幕外壳采用烤漆制成；</w:t>
            </w:r>
          </w:p>
          <w:p>
            <w:pPr>
              <w:spacing w:line="300" w:lineRule="exact"/>
              <w:rPr>
                <w:rFonts w:hint="eastAsia" w:ascii="宋体" w:hAnsi="宋体"/>
                <w:kern w:val="0"/>
                <w:sz w:val="18"/>
                <w:szCs w:val="18"/>
              </w:rPr>
            </w:pPr>
            <w:r>
              <w:rPr>
                <w:rFonts w:hint="eastAsia" w:ascii="宋体" w:hAnsi="宋体"/>
                <w:kern w:val="0"/>
                <w:sz w:val="18"/>
                <w:szCs w:val="18"/>
              </w:rPr>
              <w:t>6．投影幕可接入中控设备，实现控制自动升降；</w:t>
            </w:r>
          </w:p>
          <w:p>
            <w:pPr>
              <w:spacing w:line="300" w:lineRule="exact"/>
              <w:rPr>
                <w:rFonts w:hint="eastAsia" w:ascii="宋体" w:hAnsi="宋体"/>
                <w:kern w:val="0"/>
                <w:sz w:val="18"/>
                <w:szCs w:val="18"/>
              </w:rPr>
            </w:pPr>
            <w:r>
              <w:rPr>
                <w:rFonts w:hint="eastAsia" w:ascii="宋体" w:hAnsi="宋体"/>
                <w:kern w:val="0"/>
                <w:sz w:val="18"/>
                <w:szCs w:val="18"/>
              </w:rPr>
              <w:t>7．保修期：产品整机≥5年。</w:t>
            </w:r>
          </w:p>
          <w:p>
            <w:pPr>
              <w:spacing w:line="300" w:lineRule="exact"/>
              <w:rPr>
                <w:rFonts w:hint="eastAsia" w:ascii="宋体" w:hAnsi="宋体"/>
                <w:kern w:val="0"/>
                <w:sz w:val="18"/>
                <w:szCs w:val="18"/>
              </w:rPr>
            </w:pPr>
            <w:r>
              <w:rPr>
                <w:rFonts w:hint="eastAsia" w:ascii="宋体" w:hAnsi="宋体"/>
                <w:kern w:val="0"/>
                <w:sz w:val="20"/>
                <w:szCs w:val="21"/>
              </w:rPr>
              <w:t>放置地点：经管212、221、313、320、主2#106、107、109、201、209、309、310</w:t>
            </w:r>
          </w:p>
        </w:tc>
        <w:tc>
          <w:tcPr>
            <w:tcW w:w="38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11块</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4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37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3</w:t>
            </w:r>
          </w:p>
        </w:tc>
        <w:tc>
          <w:tcPr>
            <w:tcW w:w="346" w:type="pc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宋体" w:hAnsi="宋体"/>
                <w:kern w:val="0"/>
                <w:sz w:val="20"/>
                <w:szCs w:val="21"/>
              </w:rPr>
            </w:pPr>
            <w:r>
              <w:rPr>
                <w:rFonts w:hint="eastAsia" w:ascii="宋体" w:hAnsi="宋体"/>
                <w:sz w:val="18"/>
                <w:szCs w:val="18"/>
              </w:rPr>
              <w:t>幕</w:t>
            </w:r>
            <w:r>
              <w:rPr>
                <w:rFonts w:hint="eastAsia" w:ascii="宋体" w:hAnsi="宋体"/>
                <w:sz w:val="18"/>
                <w:szCs w:val="18"/>
                <w:lang w:val="en-US" w:eastAsia="zh-CN"/>
              </w:rPr>
              <w:t xml:space="preserve">  </w:t>
            </w:r>
            <w:r>
              <w:rPr>
                <w:rFonts w:hint="eastAsia" w:ascii="宋体" w:hAnsi="宋体"/>
                <w:sz w:val="18"/>
                <w:szCs w:val="18"/>
              </w:rPr>
              <w:t>布</w:t>
            </w:r>
            <w:r>
              <w:rPr>
                <w:rFonts w:hint="eastAsia" w:ascii="宋体" w:hAnsi="宋体"/>
                <w:sz w:val="18"/>
                <w:szCs w:val="18"/>
                <w:lang w:val="en-US" w:eastAsia="zh-CN"/>
              </w:rPr>
              <w:t xml:space="preserve"> </w:t>
            </w:r>
            <w:r>
              <w:rPr>
                <w:rFonts w:hint="eastAsia" w:ascii="宋体" w:hAnsi="宋体"/>
                <w:sz w:val="18"/>
                <w:szCs w:val="18"/>
              </w:rPr>
              <w:t>120</w:t>
            </w:r>
            <w:r>
              <w:rPr>
                <w:rFonts w:hint="eastAsia" w:ascii="宋体" w:hAnsi="宋体"/>
                <w:sz w:val="18"/>
                <w:szCs w:val="18"/>
                <w:lang w:val="en-US" w:eastAsia="zh-CN"/>
              </w:rPr>
              <w:t xml:space="preserve"> </w:t>
            </w:r>
            <w:r>
              <w:rPr>
                <w:rFonts w:hint="eastAsia" w:ascii="宋体" w:hAnsi="宋体"/>
                <w:sz w:val="18"/>
                <w:szCs w:val="18"/>
              </w:rPr>
              <w:t>寸</w:t>
            </w:r>
          </w:p>
        </w:tc>
        <w:tc>
          <w:tcPr>
            <w:tcW w:w="2702" w:type="pct"/>
            <w:tcBorders>
              <w:top w:val="single" w:color="auto" w:sz="4" w:space="0"/>
              <w:left w:val="single" w:color="000000" w:sz="4" w:space="0"/>
              <w:bottom w:val="single" w:color="auto" w:sz="4" w:space="0"/>
              <w:right w:val="single" w:color="000000" w:sz="4" w:space="0"/>
            </w:tcBorders>
          </w:tcPr>
          <w:p>
            <w:pPr>
              <w:spacing w:line="300" w:lineRule="exact"/>
              <w:rPr>
                <w:rFonts w:hint="eastAsia" w:ascii="宋体" w:hAnsi="宋体"/>
                <w:kern w:val="0"/>
                <w:sz w:val="18"/>
                <w:szCs w:val="18"/>
              </w:rPr>
            </w:pPr>
            <w:r>
              <w:rPr>
                <w:rFonts w:hint="eastAsia" w:ascii="宋体" w:hAnsi="宋体"/>
                <w:kern w:val="0"/>
                <w:sz w:val="18"/>
                <w:szCs w:val="18"/>
              </w:rPr>
              <w:t>1．尺寸：120寸；画面比例1</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9</w:t>
            </w:r>
            <w:r>
              <w:rPr>
                <w:rFonts w:hint="eastAsia" w:ascii="宋体" w:hAnsi="宋体"/>
                <w:kern w:val="0"/>
                <w:sz w:val="18"/>
                <w:szCs w:val="18"/>
              </w:rPr>
              <w:t>或16:10；</w:t>
            </w:r>
          </w:p>
          <w:p>
            <w:pPr>
              <w:spacing w:line="300" w:lineRule="exact"/>
              <w:rPr>
                <w:rFonts w:hint="eastAsia" w:ascii="宋体" w:hAnsi="宋体"/>
                <w:kern w:val="0"/>
                <w:sz w:val="18"/>
                <w:szCs w:val="18"/>
              </w:rPr>
            </w:pPr>
            <w:r>
              <w:rPr>
                <w:rFonts w:hint="eastAsia" w:ascii="宋体" w:hAnsi="宋体"/>
                <w:kern w:val="0"/>
                <w:sz w:val="18"/>
                <w:szCs w:val="18"/>
              </w:rPr>
              <w:t>2．采用管状电机，幕布升降宁静流畅无噪音；</w:t>
            </w:r>
          </w:p>
          <w:p>
            <w:pPr>
              <w:spacing w:line="300" w:lineRule="exact"/>
              <w:rPr>
                <w:rFonts w:hint="eastAsia" w:ascii="宋体" w:hAnsi="宋体"/>
                <w:kern w:val="0"/>
                <w:sz w:val="18"/>
                <w:szCs w:val="18"/>
              </w:rPr>
            </w:pPr>
            <w:r>
              <w:rPr>
                <w:rFonts w:hint="eastAsia" w:ascii="宋体" w:hAnsi="宋体"/>
                <w:kern w:val="0"/>
                <w:sz w:val="18"/>
                <w:szCs w:val="18"/>
              </w:rPr>
              <w:t>3．幕面采用优质玻纤投影幕布；</w:t>
            </w:r>
          </w:p>
          <w:p>
            <w:pPr>
              <w:spacing w:line="300" w:lineRule="exact"/>
              <w:rPr>
                <w:rFonts w:hint="eastAsia" w:ascii="宋体" w:hAnsi="宋体"/>
                <w:kern w:val="0"/>
                <w:sz w:val="18"/>
                <w:szCs w:val="18"/>
              </w:rPr>
            </w:pPr>
            <w:r>
              <w:rPr>
                <w:rFonts w:hint="eastAsia" w:ascii="宋体" w:hAnsi="宋体"/>
                <w:kern w:val="0"/>
                <w:sz w:val="18"/>
                <w:szCs w:val="18"/>
              </w:rPr>
              <w:t>4．经久耐用，防霉，阻燃，无异味，不褪色，不发黄，不变形；</w:t>
            </w:r>
          </w:p>
          <w:p>
            <w:pPr>
              <w:spacing w:line="300" w:lineRule="exact"/>
              <w:rPr>
                <w:rFonts w:hint="eastAsia" w:ascii="宋体" w:hAnsi="宋体"/>
                <w:kern w:val="0"/>
                <w:sz w:val="18"/>
                <w:szCs w:val="18"/>
              </w:rPr>
            </w:pPr>
            <w:r>
              <w:rPr>
                <w:rFonts w:hint="eastAsia" w:ascii="宋体" w:hAnsi="宋体"/>
                <w:kern w:val="0"/>
                <w:sz w:val="18"/>
                <w:szCs w:val="18"/>
              </w:rPr>
              <w:t>5．采用直边裁剪无压印拉幕线；投影幕外壳采用烤漆制成；</w:t>
            </w:r>
          </w:p>
          <w:p>
            <w:pPr>
              <w:spacing w:line="300" w:lineRule="exact"/>
              <w:rPr>
                <w:rFonts w:hint="eastAsia" w:ascii="宋体" w:hAnsi="宋体"/>
                <w:kern w:val="0"/>
                <w:sz w:val="18"/>
                <w:szCs w:val="18"/>
              </w:rPr>
            </w:pPr>
            <w:r>
              <w:rPr>
                <w:rFonts w:hint="eastAsia" w:ascii="宋体" w:hAnsi="宋体"/>
                <w:kern w:val="0"/>
                <w:sz w:val="18"/>
                <w:szCs w:val="18"/>
              </w:rPr>
              <w:t>6．投影幕可接入中控设备，实现控制自动升降；</w:t>
            </w:r>
          </w:p>
          <w:p>
            <w:pPr>
              <w:spacing w:line="300" w:lineRule="exact"/>
              <w:rPr>
                <w:rFonts w:hint="eastAsia" w:ascii="宋体" w:hAnsi="宋体"/>
                <w:kern w:val="0"/>
                <w:sz w:val="18"/>
                <w:szCs w:val="18"/>
              </w:rPr>
            </w:pPr>
            <w:r>
              <w:rPr>
                <w:rFonts w:hint="eastAsia" w:ascii="宋体" w:hAnsi="宋体"/>
                <w:kern w:val="0"/>
                <w:sz w:val="18"/>
                <w:szCs w:val="18"/>
              </w:rPr>
              <w:t>7．保修期：产品整机≥5年。</w:t>
            </w:r>
          </w:p>
          <w:p>
            <w:pPr>
              <w:spacing w:line="300" w:lineRule="exact"/>
              <w:rPr>
                <w:rFonts w:hint="eastAsia" w:ascii="宋体" w:hAnsi="宋体"/>
                <w:kern w:val="0"/>
                <w:sz w:val="18"/>
                <w:szCs w:val="18"/>
              </w:rPr>
            </w:pPr>
            <w:r>
              <w:rPr>
                <w:rFonts w:hint="eastAsia" w:ascii="宋体" w:hAnsi="宋体"/>
                <w:kern w:val="0"/>
                <w:sz w:val="20"/>
                <w:szCs w:val="21"/>
              </w:rPr>
              <w:t>放置地点：主2#205、206、211、306、307</w:t>
            </w:r>
          </w:p>
        </w:tc>
        <w:tc>
          <w:tcPr>
            <w:tcW w:w="38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5块</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 xml:space="preserve"> </w:t>
            </w:r>
          </w:p>
        </w:tc>
        <w:tc>
          <w:tcPr>
            <w:tcW w:w="4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c>
          <w:tcPr>
            <w:tcW w:w="37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1"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4</w:t>
            </w:r>
          </w:p>
        </w:tc>
        <w:tc>
          <w:tcPr>
            <w:tcW w:w="346" w:type="pct"/>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宋体" w:hAnsi="宋体"/>
                <w:kern w:val="0"/>
                <w:sz w:val="20"/>
                <w:szCs w:val="21"/>
              </w:rPr>
            </w:pPr>
            <w:r>
              <w:rPr>
                <w:rFonts w:hint="eastAsia" w:ascii="宋体" w:hAnsi="宋体"/>
                <w:sz w:val="18"/>
                <w:szCs w:val="18"/>
              </w:rPr>
              <w:t>显</w:t>
            </w:r>
            <w:r>
              <w:rPr>
                <w:rFonts w:hint="eastAsia" w:ascii="宋体" w:hAnsi="宋体"/>
                <w:sz w:val="18"/>
                <w:szCs w:val="18"/>
                <w:lang w:val="en-US" w:eastAsia="zh-CN"/>
              </w:rPr>
              <w:t xml:space="preserve">  </w:t>
            </w:r>
            <w:r>
              <w:rPr>
                <w:rFonts w:hint="eastAsia" w:ascii="宋体" w:hAnsi="宋体"/>
                <w:sz w:val="18"/>
                <w:szCs w:val="18"/>
              </w:rPr>
              <w:t>示</w:t>
            </w:r>
            <w:r>
              <w:rPr>
                <w:rFonts w:hint="eastAsia" w:ascii="宋体" w:hAnsi="宋体"/>
                <w:sz w:val="18"/>
                <w:szCs w:val="18"/>
                <w:lang w:val="en-US" w:eastAsia="zh-CN"/>
              </w:rPr>
              <w:t xml:space="preserve">  </w:t>
            </w:r>
            <w:r>
              <w:rPr>
                <w:rFonts w:hint="eastAsia" w:ascii="宋体" w:hAnsi="宋体"/>
                <w:sz w:val="18"/>
                <w:szCs w:val="18"/>
              </w:rPr>
              <w:t>器</w:t>
            </w:r>
            <w:r>
              <w:rPr>
                <w:rFonts w:hint="eastAsia" w:ascii="宋体" w:hAnsi="宋体"/>
                <w:sz w:val="18"/>
                <w:szCs w:val="18"/>
                <w:lang w:val="en-US" w:eastAsia="zh-CN"/>
              </w:rPr>
              <w:t xml:space="preserve">  </w:t>
            </w:r>
            <w:r>
              <w:rPr>
                <w:rFonts w:hint="eastAsia" w:ascii="宋体" w:hAnsi="宋体"/>
                <w:sz w:val="18"/>
                <w:szCs w:val="18"/>
              </w:rPr>
              <w:t>支</w:t>
            </w:r>
            <w:r>
              <w:rPr>
                <w:rFonts w:hint="eastAsia" w:ascii="宋体" w:hAnsi="宋体"/>
                <w:sz w:val="18"/>
                <w:szCs w:val="18"/>
                <w:lang w:val="en-US" w:eastAsia="zh-CN"/>
              </w:rPr>
              <w:t xml:space="preserve">  </w:t>
            </w:r>
            <w:r>
              <w:rPr>
                <w:rFonts w:hint="eastAsia" w:ascii="宋体" w:hAnsi="宋体"/>
                <w:sz w:val="18"/>
                <w:szCs w:val="18"/>
              </w:rPr>
              <w:t>架</w:t>
            </w:r>
          </w:p>
        </w:tc>
        <w:tc>
          <w:tcPr>
            <w:tcW w:w="2702" w:type="pct"/>
            <w:tcBorders>
              <w:top w:val="single" w:color="auto" w:sz="4" w:space="0"/>
              <w:left w:val="single" w:color="000000" w:sz="4" w:space="0"/>
              <w:bottom w:val="single" w:color="auto" w:sz="4" w:space="0"/>
              <w:right w:val="single" w:color="000000" w:sz="4" w:space="0"/>
            </w:tcBorders>
          </w:tcPr>
          <w:p>
            <w:pPr>
              <w:spacing w:line="300" w:lineRule="exact"/>
              <w:rPr>
                <w:rFonts w:hint="eastAsia" w:ascii="宋体" w:hAnsi="宋体"/>
                <w:kern w:val="0"/>
                <w:sz w:val="18"/>
                <w:szCs w:val="18"/>
              </w:rPr>
            </w:pPr>
            <w:r>
              <w:rPr>
                <w:rFonts w:hint="eastAsia" w:ascii="宋体" w:hAnsi="宋体"/>
                <w:kern w:val="0"/>
                <w:sz w:val="18"/>
                <w:szCs w:val="18"/>
              </w:rPr>
              <w:t>1.产品型号：</w:t>
            </w:r>
            <w:r>
              <w:rPr>
                <w:rFonts w:ascii="宋体" w:hAnsi="宋体"/>
                <w:kern w:val="0"/>
                <w:sz w:val="18"/>
                <w:szCs w:val="18"/>
              </w:rPr>
              <w:t>NBF80</w:t>
            </w:r>
          </w:p>
          <w:p>
            <w:pPr>
              <w:spacing w:line="300" w:lineRule="exact"/>
              <w:rPr>
                <w:rFonts w:hint="eastAsia" w:ascii="宋体" w:hAnsi="宋体"/>
                <w:kern w:val="0"/>
                <w:sz w:val="18"/>
                <w:szCs w:val="18"/>
              </w:rPr>
            </w:pPr>
            <w:r>
              <w:rPr>
                <w:rFonts w:hint="eastAsia" w:ascii="宋体" w:hAnsi="宋体"/>
                <w:kern w:val="0"/>
                <w:sz w:val="18"/>
                <w:szCs w:val="18"/>
              </w:rPr>
              <w:t>2.安装方式：打孔安装</w:t>
            </w:r>
          </w:p>
          <w:p>
            <w:pPr>
              <w:spacing w:line="300" w:lineRule="exact"/>
              <w:rPr>
                <w:rFonts w:hint="eastAsia" w:ascii="宋体" w:hAnsi="宋体"/>
                <w:kern w:val="0"/>
                <w:sz w:val="18"/>
                <w:szCs w:val="18"/>
              </w:rPr>
            </w:pPr>
            <w:r>
              <w:rPr>
                <w:rFonts w:hint="eastAsia" w:ascii="宋体" w:hAnsi="宋体"/>
                <w:kern w:val="0"/>
                <w:sz w:val="18"/>
                <w:szCs w:val="18"/>
              </w:rPr>
              <w:t xml:space="preserve">3.适配尺寸：21英寸-27英寸； </w:t>
            </w:r>
          </w:p>
          <w:p>
            <w:pPr>
              <w:spacing w:line="300" w:lineRule="exact"/>
              <w:rPr>
                <w:rFonts w:hint="eastAsia" w:ascii="宋体" w:hAnsi="宋体"/>
                <w:kern w:val="0"/>
                <w:sz w:val="18"/>
                <w:szCs w:val="18"/>
              </w:rPr>
            </w:pPr>
            <w:r>
              <w:rPr>
                <w:rFonts w:hint="eastAsia" w:ascii="宋体" w:hAnsi="宋体"/>
                <w:kern w:val="0"/>
                <w:sz w:val="18"/>
                <w:szCs w:val="18"/>
              </w:rPr>
              <w:t>4.安装服务</w:t>
            </w:r>
          </w:p>
          <w:p>
            <w:pPr>
              <w:spacing w:line="300" w:lineRule="exact"/>
              <w:rPr>
                <w:rFonts w:hint="eastAsia" w:ascii="宋体" w:hAnsi="宋体"/>
                <w:kern w:val="0"/>
                <w:sz w:val="18"/>
                <w:szCs w:val="18"/>
              </w:rPr>
            </w:pPr>
            <w:r>
              <w:rPr>
                <w:rFonts w:hint="eastAsia" w:ascii="宋体" w:hAnsi="宋体"/>
                <w:kern w:val="0"/>
                <w:sz w:val="20"/>
                <w:szCs w:val="21"/>
              </w:rPr>
              <w:t>放置地点：经管212、221、313、320、主2#106、107、109、201、205、206、209、211、306、307、309、310</w:t>
            </w:r>
          </w:p>
        </w:tc>
        <w:tc>
          <w:tcPr>
            <w:tcW w:w="38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r>
              <w:rPr>
                <w:rFonts w:hint="eastAsia" w:ascii="宋体" w:hAnsi="宋体"/>
                <w:sz w:val="18"/>
                <w:szCs w:val="18"/>
              </w:rPr>
              <w:t>16个</w:t>
            </w: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c>
          <w:tcPr>
            <w:tcW w:w="476"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c>
          <w:tcPr>
            <w:tcW w:w="37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1" w:hRule="atLeast"/>
          <w:jc w:val="center"/>
        </w:trPr>
        <w:tc>
          <w:tcPr>
            <w:tcW w:w="296" w:type="pct"/>
            <w:tcBorders>
              <w:top w:val="single" w:color="000000" w:sz="4" w:space="0"/>
              <w:left w:val="single" w:color="000000" w:sz="4" w:space="0"/>
              <w:bottom w:val="single" w:color="000000" w:sz="4" w:space="0"/>
              <w:right w:val="single" w:color="000000" w:sz="4" w:space="0"/>
            </w:tcBorders>
            <w:vAlign w:val="center"/>
          </w:tcPr>
          <w:p>
            <w:pPr>
              <w:ind w:left="180" w:hanging="180" w:hangingChars="100"/>
              <w:jc w:val="center"/>
              <w:rPr>
                <w:rFonts w:hint="eastAsia" w:ascii="宋体" w:hAnsi="宋体"/>
                <w:sz w:val="18"/>
                <w:szCs w:val="18"/>
              </w:rPr>
            </w:pPr>
            <w:r>
              <w:rPr>
                <w:rFonts w:hint="eastAsia" w:ascii="宋体" w:hAnsi="宋体"/>
                <w:sz w:val="18"/>
                <w:szCs w:val="18"/>
              </w:rPr>
              <w:t>备注</w:t>
            </w:r>
          </w:p>
        </w:tc>
        <w:tc>
          <w:tcPr>
            <w:tcW w:w="346" w:type="pct"/>
            <w:tcBorders>
              <w:top w:val="single" w:color="auto" w:sz="4" w:space="0"/>
              <w:left w:val="single" w:color="000000" w:sz="4" w:space="0"/>
              <w:bottom w:val="single" w:color="auto" w:sz="4" w:space="0"/>
              <w:right w:val="single" w:color="000000" w:sz="4" w:space="0"/>
            </w:tcBorders>
          </w:tcPr>
          <w:p>
            <w:pPr>
              <w:jc w:val="left"/>
              <w:rPr>
                <w:rFonts w:hint="eastAsia" w:ascii="宋体" w:hAnsi="宋体"/>
                <w:sz w:val="18"/>
                <w:szCs w:val="18"/>
              </w:rPr>
            </w:pPr>
          </w:p>
        </w:tc>
        <w:tc>
          <w:tcPr>
            <w:tcW w:w="4356" w:type="pct"/>
            <w:gridSpan w:val="5"/>
            <w:tcBorders>
              <w:top w:val="single" w:color="auto" w:sz="4" w:space="0"/>
              <w:left w:val="single" w:color="000000" w:sz="4" w:space="0"/>
              <w:bottom w:val="single" w:color="auto" w:sz="4" w:space="0"/>
              <w:right w:val="single" w:color="000000" w:sz="4" w:space="0"/>
            </w:tcBorders>
          </w:tcPr>
          <w:p>
            <w:pPr>
              <w:ind w:firstLine="360" w:firstLineChars="200"/>
              <w:jc w:val="left"/>
              <w:rPr>
                <w:rFonts w:hint="default" w:ascii="宋体" w:hAnsi="宋体" w:eastAsia="宋体"/>
                <w:sz w:val="18"/>
                <w:szCs w:val="18"/>
                <w:lang w:val="en-US" w:eastAsia="zh-CN"/>
              </w:rPr>
            </w:pPr>
            <w:r>
              <w:rPr>
                <w:rFonts w:hint="eastAsia" w:ascii="宋体" w:hAnsi="宋体"/>
                <w:sz w:val="18"/>
                <w:szCs w:val="18"/>
                <w:lang w:val="en-US" w:eastAsia="zh-CN"/>
              </w:rPr>
              <w:t>本项目为设备更新，部分教室涉及重新布线或移机等，所产生费用单价固定为1000元</w:t>
            </w:r>
            <w:r>
              <w:rPr>
                <w:rFonts w:hint="eastAsia" w:ascii="宋体" w:hAnsi="宋体" w:eastAsia="宋体" w:cs="宋体"/>
                <w:sz w:val="18"/>
                <w:szCs w:val="18"/>
                <w:lang w:val="en-US" w:eastAsia="zh-CN"/>
              </w:rPr>
              <w:t>/</w:t>
            </w:r>
            <w:r>
              <w:rPr>
                <w:rFonts w:hint="eastAsia" w:ascii="宋体" w:hAnsi="宋体"/>
                <w:sz w:val="18"/>
                <w:szCs w:val="18"/>
                <w:lang w:val="en-US" w:eastAsia="zh-CN"/>
              </w:rPr>
              <w:t>间，最终按实结算，此项费用不包含在本项目的总报价范围内，保修2年。</w:t>
            </w:r>
          </w:p>
          <w:p>
            <w:pPr>
              <w:ind w:firstLine="360" w:firstLineChars="200"/>
              <w:jc w:val="left"/>
              <w:rPr>
                <w:rFonts w:hint="eastAsia" w:ascii="宋体" w:hAnsi="宋体"/>
                <w:sz w:val="18"/>
                <w:szCs w:val="18"/>
              </w:rPr>
            </w:pPr>
            <w:r>
              <w:rPr>
                <w:rFonts w:hint="eastAsia" w:ascii="宋体" w:hAnsi="宋体"/>
                <w:sz w:val="18"/>
                <w:szCs w:val="18"/>
                <w:lang w:val="en-US" w:eastAsia="zh-CN"/>
              </w:rPr>
              <w:t>上述</w:t>
            </w:r>
            <w:r>
              <w:rPr>
                <w:rFonts w:ascii="宋体" w:hAnsi="宋体"/>
                <w:sz w:val="18"/>
                <w:szCs w:val="18"/>
              </w:rPr>
              <w:t>标注★的产品为核心</w:t>
            </w:r>
            <w:r>
              <w:rPr>
                <w:rFonts w:hint="eastAsia" w:ascii="宋体" w:hAnsi="宋体"/>
                <w:sz w:val="18"/>
                <w:szCs w:val="18"/>
              </w:rPr>
              <w:t>参数</w:t>
            </w:r>
            <w:r>
              <w:rPr>
                <w:rFonts w:ascii="宋体" w:hAnsi="宋体"/>
                <w:sz w:val="18"/>
                <w:szCs w:val="18"/>
              </w:rPr>
              <w:t>，不满足将不进入评审环节。投标人在证明材料中将关键评审要素重点标注出来，以便于评审。</w:t>
            </w:r>
          </w:p>
        </w:tc>
      </w:tr>
    </w:tbl>
    <w:p>
      <w:pPr>
        <w:numPr>
          <w:ilvl w:val="0"/>
          <w:numId w:val="2"/>
        </w:numPr>
        <w:spacing w:line="360" w:lineRule="auto"/>
        <w:rPr>
          <w:b/>
          <w:bCs/>
          <w:sz w:val="24"/>
        </w:rPr>
      </w:pPr>
      <w:r>
        <w:rPr>
          <w:rFonts w:hint="eastAsia"/>
          <w:b/>
          <w:bCs/>
          <w:sz w:val="24"/>
        </w:rPr>
        <w:t>其它说明</w:t>
      </w:r>
    </w:p>
    <w:p>
      <w:pPr>
        <w:spacing w:line="360" w:lineRule="auto"/>
        <w:rPr>
          <w:bCs/>
          <w:sz w:val="24"/>
        </w:rPr>
      </w:pPr>
      <w:r>
        <w:rPr>
          <w:rFonts w:hint="eastAsia"/>
          <w:bCs/>
          <w:sz w:val="24"/>
        </w:rPr>
        <w:t>2.1以上所有设备的参数为基本参数。评标时以</w:t>
      </w:r>
      <w:r>
        <w:rPr>
          <w:rFonts w:hint="eastAsia" w:ascii="宋体" w:hAnsi="宋体"/>
          <w:sz w:val="24"/>
        </w:rPr>
        <w:t>各投标方提供的设备清单及设备配置为评价指标；各投标方所提供的设备，应做到配套齐全、功能完善，以方便使用。</w:t>
      </w:r>
      <w:r>
        <w:rPr>
          <w:rFonts w:hint="eastAsia"/>
          <w:bCs/>
          <w:sz w:val="24"/>
        </w:rPr>
        <w:t>中标单位需在招标方规定时间到货并安装、调试完毕（为合同签订后30个日历日内到货并安装调试完毕）。</w:t>
      </w:r>
    </w:p>
    <w:p>
      <w:pPr>
        <w:spacing w:line="360" w:lineRule="auto"/>
        <w:rPr>
          <w:b/>
          <w:color w:val="FF0000"/>
          <w:sz w:val="24"/>
        </w:rPr>
      </w:pPr>
      <w:r>
        <w:rPr>
          <w:rFonts w:hint="eastAsia"/>
          <w:bCs/>
          <w:sz w:val="24"/>
        </w:rPr>
        <w:t>2.2投标时需提供1套</w:t>
      </w:r>
      <w:r>
        <w:rPr>
          <w:rFonts w:hint="eastAsia"/>
          <w:bCs/>
          <w:sz w:val="24"/>
          <w:lang w:val="en-US" w:eastAsia="zh-CN"/>
        </w:rPr>
        <w:t>投影仪</w:t>
      </w:r>
      <w:r>
        <w:rPr>
          <w:rFonts w:hint="eastAsia"/>
          <w:bCs/>
          <w:sz w:val="24"/>
        </w:rPr>
        <w:t>实物，作为评标参考，样品作为到货验收时的依据之一。</w:t>
      </w:r>
      <w:r>
        <w:rPr>
          <w:rFonts w:hint="eastAsia"/>
          <w:bCs/>
          <w:color w:val="FF0000"/>
          <w:sz w:val="24"/>
        </w:rPr>
        <w:t>未提供样品者视为放弃投标资格。</w:t>
      </w:r>
    </w:p>
    <w:p>
      <w:pPr>
        <w:numPr>
          <w:ilvl w:val="0"/>
          <w:numId w:val="2"/>
        </w:numPr>
        <w:spacing w:line="360" w:lineRule="auto"/>
        <w:rPr>
          <w:b/>
          <w:bCs/>
          <w:sz w:val="24"/>
        </w:rPr>
      </w:pPr>
      <w:r>
        <w:rPr>
          <w:rFonts w:hint="eastAsia"/>
          <w:b/>
          <w:bCs/>
          <w:sz w:val="24"/>
        </w:rPr>
        <w:t>投标要求</w:t>
      </w:r>
    </w:p>
    <w:p>
      <w:pPr>
        <w:numPr>
          <w:ilvl w:val="1"/>
          <w:numId w:val="2"/>
        </w:numPr>
        <w:spacing w:line="360" w:lineRule="auto"/>
        <w:rPr>
          <w:bCs/>
          <w:sz w:val="24"/>
        </w:rPr>
      </w:pPr>
      <w:r>
        <w:rPr>
          <w:rFonts w:hint="eastAsia"/>
          <w:bCs/>
          <w:sz w:val="24"/>
        </w:rPr>
        <w:t>投标人应根据本招标文件中提出的技术要求，在投标文件中提供技术应答书或技术建议书。</w:t>
      </w:r>
    </w:p>
    <w:p>
      <w:pPr>
        <w:numPr>
          <w:ilvl w:val="1"/>
          <w:numId w:val="2"/>
        </w:numPr>
        <w:spacing w:line="360" w:lineRule="auto"/>
        <w:rPr>
          <w:b/>
          <w:sz w:val="24"/>
          <w:u w:val="single"/>
        </w:rPr>
      </w:pPr>
      <w:r>
        <w:rPr>
          <w:rFonts w:hint="eastAsia"/>
          <w:bCs/>
          <w:sz w:val="24"/>
        </w:rPr>
        <w:t>投标人必须为招标产品的制造商、经销商或代理商，投标人为经销商、代理商的</w:t>
      </w:r>
      <w:r>
        <w:rPr>
          <w:rFonts w:hint="eastAsia"/>
          <w:b/>
          <w:sz w:val="24"/>
        </w:rPr>
        <w:t>，</w:t>
      </w:r>
      <w:r>
        <w:rPr>
          <w:rFonts w:hint="eastAsia"/>
          <w:b/>
          <w:color w:val="FF0000"/>
          <w:sz w:val="24"/>
          <w:u w:val="single"/>
        </w:rPr>
        <w:t>在投标时可不提供授权文件，但在中标后需提供这批货物的原厂家授权文件以及原厂保修证明文件</w:t>
      </w:r>
      <w:r>
        <w:rPr>
          <w:rFonts w:hint="eastAsia"/>
          <w:b/>
          <w:sz w:val="24"/>
          <w:u w:val="single"/>
        </w:rPr>
        <w:t>。</w:t>
      </w:r>
    </w:p>
    <w:p>
      <w:pPr>
        <w:numPr>
          <w:ilvl w:val="1"/>
          <w:numId w:val="2"/>
        </w:numPr>
        <w:spacing w:line="360" w:lineRule="auto"/>
        <w:rPr>
          <w:bCs/>
          <w:sz w:val="24"/>
        </w:rPr>
      </w:pPr>
      <w:r>
        <w:rPr>
          <w:rFonts w:hint="eastAsia"/>
          <w:bCs/>
          <w:sz w:val="24"/>
        </w:rPr>
        <w:t>进口货物供应商必须提供生产厂家的授权经销代理正本，所有的产品必须是全新的原装进口产品，供应商必须负责为用户安装调试。</w:t>
      </w:r>
    </w:p>
    <w:p>
      <w:pPr>
        <w:numPr>
          <w:ilvl w:val="1"/>
          <w:numId w:val="2"/>
        </w:numPr>
        <w:spacing w:line="360" w:lineRule="auto"/>
        <w:rPr>
          <w:bCs/>
          <w:sz w:val="24"/>
        </w:rPr>
      </w:pPr>
      <w:r>
        <w:rPr>
          <w:rFonts w:hint="eastAsia"/>
          <w:bCs/>
          <w:sz w:val="24"/>
        </w:rPr>
        <w:t>投标人应具备独立的法人资格，相应的经营范围。报名时，须提供企业法人营业执照（副本）复印件。</w:t>
      </w:r>
    </w:p>
    <w:p>
      <w:pPr>
        <w:numPr>
          <w:ilvl w:val="1"/>
          <w:numId w:val="2"/>
        </w:numPr>
        <w:spacing w:line="360" w:lineRule="auto"/>
        <w:rPr>
          <w:bCs/>
          <w:sz w:val="24"/>
        </w:rPr>
      </w:pPr>
      <w:r>
        <w:rPr>
          <w:rFonts w:hint="eastAsia"/>
          <w:bCs/>
          <w:sz w:val="24"/>
        </w:rPr>
        <w:t>投标文件必须包含投标书、开标一览表、投标价格一览表、资格证明文件、售后服务承诺及本招标文件要求的其他主要内容，以上材料须加盖投标人公章。</w:t>
      </w:r>
    </w:p>
    <w:p>
      <w:pPr>
        <w:numPr>
          <w:ilvl w:val="1"/>
          <w:numId w:val="2"/>
        </w:numPr>
        <w:spacing w:line="360" w:lineRule="auto"/>
        <w:rPr>
          <w:bCs/>
          <w:sz w:val="24"/>
        </w:rPr>
      </w:pPr>
      <w:r>
        <w:rPr>
          <w:rFonts w:hint="eastAsia"/>
          <w:bCs/>
          <w:sz w:val="24"/>
        </w:rPr>
        <w:t>投标文件中附投标货物的详细产品配置及彩图。供应商所提供的货物必须是全新的原装正品，每个包装箱内的清单，中文使用说明书、质量证书、保修卡等所有资料应齐全。</w:t>
      </w:r>
    </w:p>
    <w:p>
      <w:pPr>
        <w:numPr>
          <w:ilvl w:val="1"/>
          <w:numId w:val="2"/>
        </w:numPr>
        <w:spacing w:line="360" w:lineRule="auto"/>
        <w:rPr>
          <w:bCs/>
          <w:sz w:val="24"/>
        </w:rPr>
      </w:pPr>
      <w:r>
        <w:rPr>
          <w:rFonts w:hint="eastAsia"/>
          <w:bCs/>
          <w:sz w:val="24"/>
        </w:rPr>
        <w:t>投标人在福建省内应具备完善的售后服务体系，具有</w:t>
      </w:r>
      <w:r>
        <w:rPr>
          <w:bCs/>
          <w:sz w:val="24"/>
        </w:rPr>
        <w:t>3</w:t>
      </w:r>
      <w:r>
        <w:rPr>
          <w:rFonts w:hint="eastAsia"/>
          <w:bCs/>
          <w:sz w:val="24"/>
        </w:rPr>
        <w:t>名以上的售后服务人员。</w:t>
      </w:r>
    </w:p>
    <w:p>
      <w:pPr>
        <w:numPr>
          <w:ilvl w:val="1"/>
          <w:numId w:val="2"/>
        </w:numPr>
        <w:spacing w:line="360" w:lineRule="auto"/>
        <w:rPr>
          <w:b/>
          <w:bCs/>
          <w:sz w:val="24"/>
        </w:rPr>
      </w:pPr>
      <w:r>
        <w:rPr>
          <w:rFonts w:hint="eastAsia"/>
          <w:b/>
          <w:bCs/>
          <w:sz w:val="24"/>
        </w:rPr>
        <w:t>招标人有权根据实际情况增减招标数量。</w:t>
      </w:r>
    </w:p>
    <w:p>
      <w:pPr>
        <w:numPr>
          <w:ilvl w:val="0"/>
          <w:numId w:val="2"/>
        </w:numPr>
        <w:spacing w:line="360" w:lineRule="auto"/>
        <w:rPr>
          <w:b/>
          <w:bCs/>
          <w:sz w:val="24"/>
        </w:rPr>
      </w:pPr>
      <w:r>
        <w:rPr>
          <w:rFonts w:hint="eastAsia"/>
          <w:b/>
          <w:bCs/>
          <w:sz w:val="24"/>
        </w:rPr>
        <w:t>本次招标废标界定</w:t>
      </w:r>
    </w:p>
    <w:p>
      <w:pPr>
        <w:spacing w:line="360" w:lineRule="auto"/>
        <w:ind w:firstLine="540"/>
        <w:rPr>
          <w:sz w:val="24"/>
        </w:rPr>
      </w:pPr>
      <w:r>
        <w:rPr>
          <w:rFonts w:hint="eastAsia"/>
          <w:sz w:val="24"/>
        </w:rPr>
        <w:t>出现下列情形之一的，本次招标将按废标处理：</w:t>
      </w:r>
    </w:p>
    <w:p>
      <w:pPr>
        <w:spacing w:line="360" w:lineRule="auto"/>
        <w:rPr>
          <w:rFonts w:ascii="宋体"/>
          <w:kern w:val="0"/>
          <w:sz w:val="24"/>
        </w:rPr>
      </w:pPr>
      <w:r>
        <w:rPr>
          <w:rFonts w:hint="eastAsia" w:ascii="宋体" w:hAnsi="宋体"/>
          <w:kern w:val="0"/>
          <w:sz w:val="24"/>
        </w:rPr>
        <w:t>4.1投标截止时间之后送达的投标文件；</w:t>
      </w:r>
    </w:p>
    <w:p>
      <w:pPr>
        <w:spacing w:line="360" w:lineRule="auto"/>
        <w:rPr>
          <w:rFonts w:ascii="宋体"/>
          <w:kern w:val="0"/>
          <w:sz w:val="24"/>
        </w:rPr>
      </w:pPr>
      <w:r>
        <w:rPr>
          <w:rFonts w:hint="eastAsia" w:ascii="宋体" w:hAnsi="宋体"/>
          <w:kern w:val="0"/>
          <w:sz w:val="24"/>
        </w:rPr>
        <w:t>4.2未按招标文件要求密封；</w:t>
      </w:r>
    </w:p>
    <w:p>
      <w:pPr>
        <w:spacing w:line="360" w:lineRule="auto"/>
        <w:rPr>
          <w:rFonts w:ascii="宋体"/>
          <w:kern w:val="0"/>
          <w:sz w:val="24"/>
        </w:rPr>
      </w:pPr>
      <w:r>
        <w:rPr>
          <w:rFonts w:hint="eastAsia" w:ascii="宋体" w:hAnsi="宋体"/>
          <w:kern w:val="0"/>
          <w:sz w:val="24"/>
        </w:rPr>
        <w:t>4.3投标人资格不满足招标人在招标文件中的要求；</w:t>
      </w:r>
    </w:p>
    <w:p>
      <w:pPr>
        <w:spacing w:line="360" w:lineRule="auto"/>
        <w:ind w:left="480" w:hanging="480" w:hangingChars="200"/>
        <w:rPr>
          <w:rFonts w:ascii="宋体"/>
          <w:kern w:val="0"/>
          <w:sz w:val="24"/>
        </w:rPr>
      </w:pPr>
      <w:r>
        <w:rPr>
          <w:rFonts w:hint="eastAsia" w:ascii="宋体" w:hAnsi="宋体"/>
          <w:kern w:val="0"/>
          <w:sz w:val="24"/>
        </w:rPr>
        <w:t>4.4投标文件的组成内容不符合招标文件要求或未按规定格式填写或打印（格式可扩展）、字迹模糊不清、难以辨认，实质性内容更改后未加盖法定代表人或委托代理人印章；</w:t>
      </w:r>
    </w:p>
    <w:p>
      <w:pPr>
        <w:spacing w:line="360" w:lineRule="auto"/>
        <w:rPr>
          <w:rFonts w:ascii="宋体"/>
          <w:kern w:val="0"/>
          <w:sz w:val="24"/>
        </w:rPr>
      </w:pPr>
      <w:r>
        <w:rPr>
          <w:rFonts w:hint="eastAsia" w:ascii="宋体" w:hAnsi="宋体"/>
          <w:kern w:val="0"/>
          <w:sz w:val="24"/>
        </w:rPr>
        <w:t>4.5投标文件附有招标人不能接受的条件或承诺内容未能按招标文件的要求；</w:t>
      </w:r>
    </w:p>
    <w:p>
      <w:pPr>
        <w:spacing w:line="360" w:lineRule="auto"/>
        <w:rPr>
          <w:rFonts w:ascii="宋体"/>
          <w:kern w:val="0"/>
          <w:sz w:val="24"/>
        </w:rPr>
      </w:pPr>
      <w:r>
        <w:rPr>
          <w:rFonts w:hint="eastAsia" w:ascii="宋体" w:hAnsi="宋体"/>
          <w:kern w:val="0"/>
          <w:sz w:val="24"/>
        </w:rPr>
        <w:t>4.6投标人以他人名义投标、串通投标或以其它弄虚作假方式投标；</w:t>
      </w:r>
    </w:p>
    <w:p>
      <w:pPr>
        <w:spacing w:line="360" w:lineRule="auto"/>
        <w:ind w:left="480" w:hanging="480" w:hangingChars="200"/>
        <w:rPr>
          <w:rFonts w:ascii="宋体" w:hAnsi="宋体"/>
          <w:kern w:val="0"/>
          <w:sz w:val="24"/>
        </w:rPr>
      </w:pPr>
      <w:r>
        <w:rPr>
          <w:rFonts w:hint="eastAsia" w:ascii="宋体" w:hAnsi="宋体"/>
          <w:kern w:val="0"/>
          <w:sz w:val="24"/>
        </w:rPr>
        <w:t>4.7未按招标文件要求提交投标保证金的或投标保证金不是从投标人的</w:t>
      </w:r>
      <w:r>
        <w:rPr>
          <w:rFonts w:hint="eastAsia" w:ascii="宋体" w:hAnsi="宋体"/>
          <w:b/>
          <w:bCs/>
          <w:color w:val="FF0000"/>
          <w:kern w:val="0"/>
          <w:sz w:val="24"/>
        </w:rPr>
        <w:t>基本账户转账</w:t>
      </w:r>
      <w:r>
        <w:rPr>
          <w:rFonts w:hint="eastAsia" w:ascii="宋体" w:hAnsi="宋体"/>
          <w:kern w:val="0"/>
          <w:sz w:val="24"/>
        </w:rPr>
        <w:t>、电汇的（投标人提供的投标保证金转账、电汇凭证复印件上的账户必须是投标人的基本账户）；投标文件中应提供人民银行批准的基本账户开户许可证复印件或者银行颁发的基本存款账户信息复印件；</w:t>
      </w:r>
    </w:p>
    <w:p>
      <w:pPr>
        <w:spacing w:line="360" w:lineRule="auto"/>
        <w:ind w:left="480" w:hanging="480" w:hangingChars="200"/>
        <w:rPr>
          <w:rFonts w:ascii="宋体"/>
          <w:kern w:val="0"/>
          <w:sz w:val="24"/>
        </w:rPr>
      </w:pPr>
      <w:r>
        <w:rPr>
          <w:rFonts w:hint="eastAsia" w:ascii="宋体" w:hAnsi="宋体"/>
          <w:kern w:val="0"/>
          <w:sz w:val="24"/>
        </w:rPr>
        <w:t>4.8投标人所报商品价格明显超出市场正常值的或者投标报价高于招标人公布的最高控制价的（招标人有权在开标时公布最高控制价）；</w:t>
      </w:r>
    </w:p>
    <w:p>
      <w:pPr>
        <w:spacing w:line="360" w:lineRule="auto"/>
        <w:ind w:left="480" w:hanging="480" w:hangingChars="200"/>
        <w:rPr>
          <w:rFonts w:ascii="宋体"/>
          <w:kern w:val="0"/>
          <w:sz w:val="24"/>
        </w:rPr>
      </w:pPr>
      <w:r>
        <w:rPr>
          <w:rFonts w:hint="eastAsia" w:ascii="宋体" w:hAnsi="宋体"/>
          <w:kern w:val="0"/>
          <w:sz w:val="24"/>
        </w:rPr>
        <w:t>4.9评标委员会对投标人的投标报价进行质询时</w:t>
      </w:r>
      <w:r>
        <w:rPr>
          <w:rFonts w:hint="eastAsia" w:ascii="宋体"/>
          <w:kern w:val="0"/>
          <w:sz w:val="24"/>
        </w:rPr>
        <w:t>,</w:t>
      </w:r>
      <w:r>
        <w:rPr>
          <w:rFonts w:hint="eastAsia" w:ascii="宋体" w:hAnsi="宋体"/>
          <w:kern w:val="0"/>
          <w:sz w:val="24"/>
        </w:rPr>
        <w:t>投标人存在以下情形之一的：</w:t>
      </w:r>
    </w:p>
    <w:p>
      <w:pPr>
        <w:numPr>
          <w:ilvl w:val="0"/>
          <w:numId w:val="3"/>
        </w:numPr>
        <w:spacing w:line="360" w:lineRule="auto"/>
        <w:rPr>
          <w:sz w:val="24"/>
        </w:rPr>
      </w:pPr>
      <w:r>
        <w:rPr>
          <w:rFonts w:hint="eastAsia" w:ascii="宋体" w:hAnsi="宋体"/>
          <w:sz w:val="24"/>
        </w:rPr>
        <w:t>投标人拒绝说明；</w:t>
      </w:r>
    </w:p>
    <w:p>
      <w:pPr>
        <w:numPr>
          <w:ilvl w:val="0"/>
          <w:numId w:val="3"/>
        </w:numPr>
        <w:spacing w:line="360" w:lineRule="auto"/>
        <w:rPr>
          <w:sz w:val="24"/>
        </w:rPr>
      </w:pPr>
      <w:r>
        <w:rPr>
          <w:rFonts w:hint="eastAsia" w:ascii="宋体" w:hAnsi="宋体"/>
          <w:sz w:val="24"/>
        </w:rPr>
        <w:t>不能合理说明；</w:t>
      </w:r>
    </w:p>
    <w:p>
      <w:pPr>
        <w:numPr>
          <w:ilvl w:val="0"/>
          <w:numId w:val="3"/>
        </w:numPr>
        <w:spacing w:line="360" w:lineRule="auto"/>
        <w:rPr>
          <w:sz w:val="24"/>
        </w:rPr>
      </w:pPr>
      <w:r>
        <w:rPr>
          <w:rFonts w:hint="eastAsia" w:ascii="宋体" w:hAnsi="宋体"/>
          <w:sz w:val="24"/>
        </w:rPr>
        <w:t>未提供相应证明材料；</w:t>
      </w:r>
    </w:p>
    <w:p>
      <w:pPr>
        <w:numPr>
          <w:ilvl w:val="0"/>
          <w:numId w:val="3"/>
        </w:numPr>
        <w:spacing w:line="360" w:lineRule="auto"/>
        <w:rPr>
          <w:sz w:val="24"/>
        </w:rPr>
      </w:pPr>
      <w:r>
        <w:rPr>
          <w:rFonts w:hint="eastAsia" w:ascii="宋体" w:hAnsi="宋体"/>
          <w:sz w:val="24"/>
        </w:rPr>
        <w:t>所提供的证明材料不能说明其理由；</w:t>
      </w:r>
    </w:p>
    <w:p>
      <w:pPr>
        <w:numPr>
          <w:ilvl w:val="0"/>
          <w:numId w:val="3"/>
        </w:numPr>
        <w:spacing w:line="360" w:lineRule="auto"/>
        <w:rPr>
          <w:rFonts w:ascii="宋体"/>
          <w:kern w:val="0"/>
          <w:sz w:val="24"/>
        </w:rPr>
      </w:pPr>
      <w:r>
        <w:rPr>
          <w:rFonts w:hint="eastAsia" w:ascii="宋体" w:hAnsi="宋体"/>
          <w:kern w:val="0"/>
          <w:sz w:val="24"/>
        </w:rPr>
        <w:t>评标委员会认为应当否决投标的其他情形；</w:t>
      </w:r>
    </w:p>
    <w:p>
      <w:pPr>
        <w:spacing w:line="360" w:lineRule="auto"/>
        <w:rPr>
          <w:rFonts w:ascii="宋体" w:hAnsi="宋体"/>
          <w:kern w:val="0"/>
          <w:sz w:val="24"/>
        </w:rPr>
      </w:pPr>
      <w:r>
        <w:rPr>
          <w:rFonts w:hint="eastAsia" w:ascii="宋体" w:hAnsi="宋体"/>
          <w:kern w:val="0"/>
          <w:sz w:val="24"/>
        </w:rPr>
        <w:t>招标文件明确规定为无效标的其它条款。</w:t>
      </w:r>
    </w:p>
    <w:p>
      <w:pPr>
        <w:spacing w:line="360" w:lineRule="auto"/>
        <w:rPr>
          <w:rFonts w:ascii="宋体" w:hAnsi="宋体"/>
          <w:color w:val="FF0000"/>
          <w:kern w:val="0"/>
          <w:sz w:val="24"/>
        </w:rPr>
      </w:pPr>
      <w:r>
        <w:rPr>
          <w:rFonts w:hint="eastAsia" w:ascii="宋体" w:hAnsi="宋体"/>
          <w:color w:val="FF0000"/>
          <w:kern w:val="0"/>
          <w:sz w:val="24"/>
        </w:rPr>
        <w:t>4.10未按招标文件“第一章 第十条”要求装订投标确认函。</w:t>
      </w:r>
    </w:p>
    <w:p>
      <w:pPr>
        <w:numPr>
          <w:ilvl w:val="0"/>
          <w:numId w:val="2"/>
        </w:numPr>
        <w:spacing w:line="360" w:lineRule="auto"/>
        <w:rPr>
          <w:b/>
          <w:bCs/>
          <w:sz w:val="24"/>
        </w:rPr>
      </w:pPr>
      <w:r>
        <w:rPr>
          <w:rFonts w:hint="eastAsia"/>
          <w:b/>
          <w:bCs/>
          <w:sz w:val="24"/>
        </w:rPr>
        <w:t>投标报价要求</w:t>
      </w:r>
    </w:p>
    <w:p>
      <w:pPr>
        <w:spacing w:line="360" w:lineRule="auto"/>
        <w:ind w:firstLine="480" w:firstLineChars="200"/>
        <w:rPr>
          <w:sz w:val="24"/>
        </w:rPr>
      </w:pPr>
      <w:r>
        <w:rPr>
          <w:rFonts w:hint="eastAsia"/>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pPr>
        <w:numPr>
          <w:ilvl w:val="0"/>
          <w:numId w:val="2"/>
        </w:numPr>
        <w:spacing w:line="360" w:lineRule="auto"/>
        <w:rPr>
          <w:b/>
          <w:bCs/>
          <w:sz w:val="24"/>
        </w:rPr>
      </w:pPr>
      <w:r>
        <w:rPr>
          <w:rFonts w:hint="eastAsia"/>
          <w:b/>
          <w:bCs/>
          <w:sz w:val="24"/>
        </w:rPr>
        <w:t>合同签订</w:t>
      </w:r>
    </w:p>
    <w:p>
      <w:pPr>
        <w:spacing w:line="360" w:lineRule="auto"/>
        <w:ind w:firstLine="480" w:firstLineChars="200"/>
        <w:rPr>
          <w:sz w:val="24"/>
        </w:rPr>
      </w:pPr>
      <w:r>
        <w:rPr>
          <w:rFonts w:hint="eastAsia"/>
          <w:sz w:val="24"/>
        </w:rPr>
        <w:t>中标人在接到中标通知后，持中标通知书与厦门大学嘉庚学院签订合同。招标文件、投标文件及其澄清文件均作为签订合同及相关技术和服务协议的基础。</w:t>
      </w:r>
    </w:p>
    <w:p>
      <w:pPr>
        <w:numPr>
          <w:ilvl w:val="0"/>
          <w:numId w:val="2"/>
        </w:numPr>
        <w:spacing w:line="360" w:lineRule="auto"/>
        <w:rPr>
          <w:b/>
          <w:bCs/>
          <w:sz w:val="24"/>
        </w:rPr>
      </w:pPr>
      <w:r>
        <w:rPr>
          <w:rFonts w:hint="eastAsia"/>
          <w:b/>
          <w:bCs/>
          <w:sz w:val="24"/>
        </w:rPr>
        <w:t>验收条件</w:t>
      </w:r>
    </w:p>
    <w:p>
      <w:pPr>
        <w:numPr>
          <w:ilvl w:val="1"/>
          <w:numId w:val="2"/>
        </w:numPr>
        <w:spacing w:line="360" w:lineRule="auto"/>
        <w:rPr>
          <w:bCs/>
          <w:sz w:val="24"/>
        </w:rPr>
      </w:pPr>
      <w:r>
        <w:rPr>
          <w:rFonts w:hint="eastAsia"/>
          <w:bCs/>
          <w:sz w:val="24"/>
        </w:rPr>
        <w:t>招标文件、投标文件、合同、厂家货物技术标准说明及有关国家的质量标准规定，均作为验收标准。</w:t>
      </w:r>
    </w:p>
    <w:p>
      <w:pPr>
        <w:numPr>
          <w:ilvl w:val="1"/>
          <w:numId w:val="2"/>
        </w:numPr>
        <w:spacing w:line="360" w:lineRule="auto"/>
        <w:rPr>
          <w:bCs/>
          <w:sz w:val="24"/>
        </w:rPr>
      </w:pPr>
      <w:r>
        <w:rPr>
          <w:rFonts w:hint="eastAsia"/>
          <w:bCs/>
          <w:sz w:val="24"/>
        </w:rPr>
        <w:t>招标人应当组织对供应商履约情况进行验收。验收小组成员应当在验收书上签字，并承担相应的法律责任。</w:t>
      </w:r>
    </w:p>
    <w:p>
      <w:pPr>
        <w:numPr>
          <w:ilvl w:val="1"/>
          <w:numId w:val="2"/>
        </w:numPr>
        <w:spacing w:line="360" w:lineRule="auto"/>
        <w:rPr>
          <w:bCs/>
          <w:sz w:val="24"/>
        </w:rPr>
      </w:pPr>
      <w:r>
        <w:rPr>
          <w:rFonts w:hint="eastAsia"/>
          <w:bCs/>
          <w:sz w:val="24"/>
        </w:rPr>
        <w:t>验收时中标人代表必须在场。验收合格后，招标人根据合同规定为中标人办理付款手续。</w:t>
      </w:r>
      <w:r>
        <w:rPr>
          <w:bCs/>
          <w:sz w:val="24"/>
        </w:rPr>
        <w:t xml:space="preserve"> </w:t>
      </w:r>
    </w:p>
    <w:p>
      <w:pPr>
        <w:numPr>
          <w:ilvl w:val="0"/>
          <w:numId w:val="2"/>
        </w:numPr>
        <w:spacing w:line="360" w:lineRule="auto"/>
        <w:rPr>
          <w:b/>
          <w:bCs/>
          <w:sz w:val="24"/>
        </w:rPr>
      </w:pPr>
      <w:r>
        <w:rPr>
          <w:rFonts w:hint="eastAsia"/>
          <w:b/>
          <w:bCs/>
          <w:sz w:val="24"/>
        </w:rPr>
        <w:t>付款条件</w:t>
      </w:r>
    </w:p>
    <w:p>
      <w:pPr>
        <w:spacing w:line="360" w:lineRule="auto"/>
        <w:ind w:firstLine="480" w:firstLineChars="200"/>
        <w:rPr>
          <w:sz w:val="24"/>
        </w:rPr>
      </w:pPr>
      <w:r>
        <w:rPr>
          <w:rFonts w:hint="eastAsia"/>
          <w:sz w:val="24"/>
        </w:rPr>
        <w:t>设备验收合格后三十个工作日内支付合同款的</w:t>
      </w:r>
      <w:r>
        <w:rPr>
          <w:sz w:val="24"/>
        </w:rPr>
        <w:t>95</w:t>
      </w:r>
      <w:r>
        <w:rPr>
          <w:rFonts w:hint="eastAsia"/>
          <w:sz w:val="24"/>
        </w:rPr>
        <w:t>％，余下的</w:t>
      </w:r>
      <w:r>
        <w:rPr>
          <w:sz w:val="24"/>
        </w:rPr>
        <w:t>5</w:t>
      </w:r>
      <w:r>
        <w:rPr>
          <w:rFonts w:hint="eastAsia"/>
          <w:sz w:val="24"/>
        </w:rPr>
        <w:t>％作为售后服务保证金，在</w:t>
      </w:r>
      <w:r>
        <w:rPr>
          <w:rFonts w:hint="eastAsia"/>
          <w:sz w:val="24"/>
          <w:u w:val="single"/>
        </w:rPr>
        <w:t>质量保证期满</w:t>
      </w:r>
      <w:r>
        <w:rPr>
          <w:rFonts w:hint="eastAsia"/>
          <w:sz w:val="24"/>
        </w:rPr>
        <w:t>后，若供货商在保修期内履行售后服务承诺，且设备无在修状况，则一次付清，否则予以扣留。</w:t>
      </w:r>
    </w:p>
    <w:p>
      <w:pPr>
        <w:numPr>
          <w:ilvl w:val="0"/>
          <w:numId w:val="2"/>
        </w:numPr>
        <w:spacing w:line="360" w:lineRule="auto"/>
        <w:rPr>
          <w:b/>
          <w:bCs/>
          <w:sz w:val="24"/>
        </w:rPr>
      </w:pPr>
      <w:r>
        <w:rPr>
          <w:rFonts w:hint="eastAsia"/>
          <w:b/>
          <w:bCs/>
          <w:sz w:val="24"/>
        </w:rPr>
        <w:t>售后服务要求</w:t>
      </w:r>
    </w:p>
    <w:p>
      <w:pPr>
        <w:numPr>
          <w:ilvl w:val="1"/>
          <w:numId w:val="2"/>
        </w:numPr>
        <w:spacing w:line="360" w:lineRule="auto"/>
        <w:rPr>
          <w:sz w:val="24"/>
        </w:rPr>
      </w:pPr>
      <w:r>
        <w:rPr>
          <w:rFonts w:hint="eastAsia"/>
          <w:sz w:val="24"/>
        </w:rPr>
        <w:t>投标人应按照本采购项目特点提供长期良好的售后服务，并在投标文件中明确标注</w:t>
      </w:r>
      <w:r>
        <w:rPr>
          <w:rFonts w:hint="eastAsia"/>
          <w:color w:val="FF0000"/>
          <w:sz w:val="24"/>
        </w:rPr>
        <w:t>详细具体的售后服务承诺条款及保证</w:t>
      </w:r>
      <w:r>
        <w:rPr>
          <w:rFonts w:hint="eastAsia"/>
          <w:sz w:val="24"/>
        </w:rPr>
        <w:t>。</w:t>
      </w:r>
    </w:p>
    <w:p>
      <w:pPr>
        <w:numPr>
          <w:ilvl w:val="1"/>
          <w:numId w:val="2"/>
        </w:numPr>
        <w:spacing w:line="360" w:lineRule="auto"/>
        <w:rPr>
          <w:sz w:val="24"/>
        </w:rPr>
      </w:pPr>
      <w:r>
        <w:rPr>
          <w:rFonts w:hint="eastAsia"/>
          <w:sz w:val="24"/>
        </w:rPr>
        <w:t>投标人必须提供设备操作使用常规知识、技术特点、安装、使用、维修、软件使用和一般的故障判断等知识的培训，使招标人能正确使用及维护设备，所需的费用包含在投标报价中。</w:t>
      </w:r>
    </w:p>
    <w:p>
      <w:pPr>
        <w:numPr>
          <w:ilvl w:val="1"/>
          <w:numId w:val="2"/>
        </w:numPr>
        <w:spacing w:line="360" w:lineRule="auto"/>
        <w:rPr>
          <w:sz w:val="24"/>
        </w:rPr>
      </w:pPr>
      <w:r>
        <w:rPr>
          <w:rFonts w:hint="eastAsia"/>
          <w:sz w:val="24"/>
        </w:rPr>
        <w:t>保修期基本要求，详见采购项目表格。保修期自用户验收小组验收合格交付使用之日算起。</w:t>
      </w:r>
    </w:p>
    <w:p>
      <w:pPr>
        <w:numPr>
          <w:ilvl w:val="1"/>
          <w:numId w:val="2"/>
        </w:numPr>
        <w:spacing w:line="360" w:lineRule="auto"/>
        <w:rPr>
          <w:sz w:val="24"/>
        </w:rPr>
      </w:pPr>
      <w:r>
        <w:rPr>
          <w:rFonts w:hint="eastAsia"/>
          <w:sz w:val="24"/>
        </w:rPr>
        <w:t>设备若发生故障，在接到通知后</w:t>
      </w:r>
      <w:r>
        <w:rPr>
          <w:sz w:val="24"/>
        </w:rPr>
        <w:t>2</w:t>
      </w:r>
      <w:r>
        <w:rPr>
          <w:rFonts w:hint="eastAsia"/>
          <w:sz w:val="24"/>
        </w:rPr>
        <w:t>小时内给予答复，国产仪器中标供应商须在</w:t>
      </w:r>
      <w:r>
        <w:rPr>
          <w:sz w:val="24"/>
        </w:rPr>
        <w:t>12</w:t>
      </w:r>
      <w:r>
        <w:rPr>
          <w:rFonts w:hint="eastAsia"/>
          <w:sz w:val="24"/>
        </w:rPr>
        <w:t>小时内到达现场，进口仪器中标供应商须在</w:t>
      </w:r>
      <w:r>
        <w:rPr>
          <w:sz w:val="24"/>
        </w:rPr>
        <w:t>24</w:t>
      </w:r>
      <w:r>
        <w:rPr>
          <w:rFonts w:hint="eastAsia"/>
          <w:sz w:val="24"/>
        </w:rPr>
        <w:t>小时内到达现场。供应商到达现场后</w:t>
      </w:r>
      <w:r>
        <w:rPr>
          <w:sz w:val="24"/>
        </w:rPr>
        <w:t>48</w:t>
      </w:r>
      <w:r>
        <w:rPr>
          <w:rFonts w:hint="eastAsia"/>
          <w:sz w:val="24"/>
        </w:rPr>
        <w:t>小时内无法修复的，在保修期内供应商应予以免费更换同配置设备或提供同档次代用设备；在维护期内应予提供代用设备或提供使设备可正常运转的措施。保修期限满后，供应商所更换的设备，应以当时的成本价格计算。</w:t>
      </w:r>
    </w:p>
    <w:p>
      <w:pPr>
        <w:spacing w:line="360" w:lineRule="auto"/>
        <w:rPr>
          <w:sz w:val="24"/>
        </w:rPr>
      </w:pPr>
    </w:p>
    <w:p>
      <w:pPr>
        <w:spacing w:line="360" w:lineRule="auto"/>
        <w:rPr>
          <w:sz w:val="24"/>
        </w:rPr>
      </w:pPr>
    </w:p>
    <w:p>
      <w:pPr>
        <w:spacing w:line="360" w:lineRule="auto"/>
        <w:rPr>
          <w:sz w:val="24"/>
        </w:rPr>
      </w:pPr>
    </w:p>
    <w:p>
      <w:pPr>
        <w:pStyle w:val="2"/>
        <w:numPr>
          <w:ilvl w:val="0"/>
          <w:numId w:val="1"/>
        </w:numPr>
        <w:jc w:val="center"/>
      </w:pPr>
      <w:bookmarkStart w:id="4" w:name="_Toc153463829"/>
      <w:bookmarkStart w:id="5" w:name="_Toc29459_WPSOffice_Level1"/>
      <w:r>
        <w:rPr>
          <w:rFonts w:hint="eastAsia"/>
        </w:rPr>
        <w:t>投标人须知</w:t>
      </w:r>
      <w:bookmarkEnd w:id="4"/>
      <w:bookmarkEnd w:id="5"/>
    </w:p>
    <w:p>
      <w:pPr>
        <w:pStyle w:val="3"/>
        <w:numPr>
          <w:ilvl w:val="0"/>
          <w:numId w:val="4"/>
        </w:numPr>
        <w:jc w:val="center"/>
      </w:pPr>
      <w:bookmarkStart w:id="6" w:name="_Toc153463830"/>
      <w:bookmarkStart w:id="7" w:name="_Toc9523_WPSOffice_Level2"/>
      <w:r>
        <w:rPr>
          <w:rFonts w:hint="eastAsia"/>
        </w:rPr>
        <w:t>说明</w:t>
      </w:r>
      <w:bookmarkEnd w:id="6"/>
      <w:bookmarkEnd w:id="7"/>
    </w:p>
    <w:p>
      <w:pPr>
        <w:numPr>
          <w:ilvl w:val="0"/>
          <w:numId w:val="2"/>
        </w:numPr>
        <w:spacing w:line="360" w:lineRule="auto"/>
        <w:rPr>
          <w:b/>
          <w:bCs/>
          <w:sz w:val="24"/>
        </w:rPr>
      </w:pPr>
      <w:r>
        <w:rPr>
          <w:rFonts w:hint="eastAsia"/>
          <w:b/>
          <w:bCs/>
          <w:sz w:val="24"/>
        </w:rPr>
        <w:t>投标资格</w:t>
      </w:r>
    </w:p>
    <w:p>
      <w:pPr>
        <w:spacing w:line="360" w:lineRule="auto"/>
        <w:ind w:firstLine="480" w:firstLineChars="200"/>
        <w:rPr>
          <w:sz w:val="24"/>
        </w:rPr>
      </w:pPr>
      <w:r>
        <w:rPr>
          <w:rFonts w:hint="eastAsia"/>
          <w:sz w:val="24"/>
        </w:rPr>
        <w:t>根据“中华人民共和国政府采购法”，供应商参加政府采购活动应当具备下列条件：</w:t>
      </w:r>
    </w:p>
    <w:p>
      <w:pPr>
        <w:numPr>
          <w:ilvl w:val="1"/>
          <w:numId w:val="2"/>
        </w:numPr>
        <w:spacing w:line="360" w:lineRule="auto"/>
        <w:rPr>
          <w:bCs/>
          <w:sz w:val="24"/>
        </w:rPr>
      </w:pPr>
      <w:r>
        <w:rPr>
          <w:rFonts w:hint="eastAsia"/>
          <w:bCs/>
          <w:sz w:val="24"/>
        </w:rPr>
        <w:t>具有独立承担民事责任的能力；</w:t>
      </w:r>
    </w:p>
    <w:p>
      <w:pPr>
        <w:numPr>
          <w:ilvl w:val="1"/>
          <w:numId w:val="2"/>
        </w:numPr>
        <w:spacing w:line="360" w:lineRule="auto"/>
        <w:rPr>
          <w:bCs/>
          <w:sz w:val="24"/>
        </w:rPr>
      </w:pPr>
      <w:r>
        <w:rPr>
          <w:rFonts w:hint="eastAsia"/>
          <w:bCs/>
          <w:sz w:val="24"/>
        </w:rPr>
        <w:t>具有良好的商业信誉和健全的财务会计制度；</w:t>
      </w:r>
    </w:p>
    <w:p>
      <w:pPr>
        <w:numPr>
          <w:ilvl w:val="1"/>
          <w:numId w:val="2"/>
        </w:numPr>
        <w:spacing w:line="360" w:lineRule="auto"/>
        <w:rPr>
          <w:bCs/>
          <w:sz w:val="24"/>
        </w:rPr>
      </w:pPr>
      <w:r>
        <w:rPr>
          <w:rFonts w:hint="eastAsia"/>
          <w:bCs/>
          <w:sz w:val="24"/>
        </w:rPr>
        <w:t>具有履行合同所必需的设备和专业技术能力；</w:t>
      </w:r>
    </w:p>
    <w:p>
      <w:pPr>
        <w:numPr>
          <w:ilvl w:val="1"/>
          <w:numId w:val="2"/>
        </w:numPr>
        <w:spacing w:line="360" w:lineRule="auto"/>
        <w:rPr>
          <w:bCs/>
          <w:sz w:val="24"/>
        </w:rPr>
      </w:pPr>
      <w:r>
        <w:rPr>
          <w:rFonts w:hint="eastAsia"/>
          <w:bCs/>
          <w:sz w:val="24"/>
        </w:rPr>
        <w:t>有依法缴纳税收和社会保障资金的良好记录；</w:t>
      </w:r>
    </w:p>
    <w:p>
      <w:pPr>
        <w:numPr>
          <w:ilvl w:val="1"/>
          <w:numId w:val="2"/>
        </w:numPr>
        <w:spacing w:line="360" w:lineRule="auto"/>
        <w:rPr>
          <w:bCs/>
          <w:sz w:val="24"/>
        </w:rPr>
      </w:pPr>
      <w:r>
        <w:rPr>
          <w:rFonts w:hint="eastAsia"/>
          <w:bCs/>
          <w:sz w:val="24"/>
        </w:rPr>
        <w:t>参加政府采购活动前三年内，在经营活动中没有重大违法记录；</w:t>
      </w:r>
    </w:p>
    <w:p>
      <w:pPr>
        <w:numPr>
          <w:ilvl w:val="1"/>
          <w:numId w:val="2"/>
        </w:numPr>
        <w:spacing w:line="360" w:lineRule="auto"/>
        <w:rPr>
          <w:bCs/>
          <w:sz w:val="24"/>
        </w:rPr>
      </w:pPr>
      <w:r>
        <w:rPr>
          <w:rFonts w:hint="eastAsia"/>
          <w:bCs/>
          <w:sz w:val="24"/>
        </w:rPr>
        <w:t>法律、行政法规规定的其它条件。</w:t>
      </w:r>
    </w:p>
    <w:p>
      <w:pPr>
        <w:numPr>
          <w:ilvl w:val="1"/>
          <w:numId w:val="2"/>
        </w:numPr>
        <w:spacing w:line="360" w:lineRule="auto"/>
        <w:rPr>
          <w:b/>
          <w:bCs/>
          <w:sz w:val="24"/>
        </w:rPr>
      </w:pPr>
      <w:r>
        <w:rPr>
          <w:rFonts w:hint="eastAsia"/>
          <w:bCs/>
          <w:sz w:val="24"/>
        </w:rPr>
        <w:t>招标文件规定的其他资格要求。</w:t>
      </w:r>
    </w:p>
    <w:p>
      <w:pPr>
        <w:numPr>
          <w:ilvl w:val="0"/>
          <w:numId w:val="2"/>
        </w:numPr>
        <w:spacing w:line="360" w:lineRule="auto"/>
        <w:rPr>
          <w:b/>
          <w:bCs/>
          <w:sz w:val="24"/>
        </w:rPr>
      </w:pPr>
      <w:r>
        <w:rPr>
          <w:rFonts w:hint="eastAsia"/>
          <w:b/>
          <w:bCs/>
          <w:sz w:val="24"/>
        </w:rPr>
        <w:t>定义</w:t>
      </w:r>
    </w:p>
    <w:p>
      <w:pPr>
        <w:numPr>
          <w:ilvl w:val="1"/>
          <w:numId w:val="2"/>
        </w:numPr>
        <w:spacing w:line="360" w:lineRule="auto"/>
        <w:rPr>
          <w:bCs/>
          <w:sz w:val="24"/>
        </w:rPr>
      </w:pPr>
      <w:r>
        <w:rPr>
          <w:rFonts w:hint="eastAsia"/>
          <w:bCs/>
          <w:sz w:val="24"/>
        </w:rPr>
        <w:t>“货物”系指卖方按招标文件规定须向买方提供的一切设备、备品备件、手册及其它有关技术资料。</w:t>
      </w:r>
    </w:p>
    <w:p>
      <w:pPr>
        <w:numPr>
          <w:ilvl w:val="1"/>
          <w:numId w:val="2"/>
        </w:numPr>
        <w:spacing w:line="360" w:lineRule="auto"/>
        <w:rPr>
          <w:bCs/>
          <w:sz w:val="24"/>
        </w:rPr>
      </w:pPr>
      <w:r>
        <w:rPr>
          <w:rFonts w:hint="eastAsia"/>
          <w:bCs/>
          <w:sz w:val="24"/>
        </w:rPr>
        <w:t>“服务”系指招标文件规定卖方须承担的安装、调试、技术协助、培训及其它类似的义务。</w:t>
      </w:r>
    </w:p>
    <w:p>
      <w:pPr>
        <w:numPr>
          <w:ilvl w:val="0"/>
          <w:numId w:val="2"/>
        </w:numPr>
        <w:spacing w:line="360" w:lineRule="auto"/>
        <w:rPr>
          <w:b/>
          <w:bCs/>
          <w:sz w:val="24"/>
        </w:rPr>
      </w:pPr>
      <w:r>
        <w:rPr>
          <w:rFonts w:hint="eastAsia"/>
          <w:b/>
          <w:bCs/>
          <w:sz w:val="24"/>
        </w:rPr>
        <w:t>投标费用</w:t>
      </w:r>
    </w:p>
    <w:p>
      <w:pPr>
        <w:spacing w:line="360" w:lineRule="auto"/>
        <w:ind w:firstLine="480" w:firstLineChars="200"/>
        <w:rPr>
          <w:b/>
          <w:bCs/>
          <w:sz w:val="24"/>
        </w:rPr>
      </w:pPr>
      <w:r>
        <w:rPr>
          <w:rFonts w:hint="eastAsia"/>
          <w:sz w:val="24"/>
        </w:rPr>
        <w:t>投标人应承担所有与准备和参加投标有关的全部费用。不论投标结果如何，采购人和用户均无义务和责任承担这些费用。</w:t>
      </w:r>
    </w:p>
    <w:p>
      <w:pPr>
        <w:numPr>
          <w:ilvl w:val="0"/>
          <w:numId w:val="2"/>
        </w:numPr>
        <w:spacing w:line="360" w:lineRule="auto"/>
        <w:rPr>
          <w:rFonts w:ascii="宋体"/>
          <w:b/>
          <w:bCs/>
          <w:sz w:val="24"/>
        </w:rPr>
      </w:pPr>
      <w:r>
        <w:rPr>
          <w:rFonts w:hint="eastAsia" w:ascii="宋体"/>
          <w:b/>
          <w:bCs/>
          <w:sz w:val="24"/>
        </w:rPr>
        <w:t>投标人少于三家，招标人有权宣布流标或者采用议标的形式确定供货单位。</w:t>
      </w:r>
    </w:p>
    <w:p>
      <w:pPr>
        <w:spacing w:line="360" w:lineRule="auto"/>
        <w:rPr>
          <w:rFonts w:ascii="宋体"/>
          <w:sz w:val="24"/>
        </w:rPr>
      </w:pPr>
    </w:p>
    <w:p>
      <w:pPr>
        <w:pStyle w:val="3"/>
        <w:numPr>
          <w:ilvl w:val="0"/>
          <w:numId w:val="4"/>
        </w:numPr>
        <w:jc w:val="center"/>
      </w:pPr>
      <w:bookmarkStart w:id="8" w:name="_Toc153463831"/>
      <w:bookmarkStart w:id="9" w:name="_Toc10184_WPSOffice_Level2"/>
      <w:r>
        <w:rPr>
          <w:rFonts w:hint="eastAsia"/>
        </w:rPr>
        <w:t>招标文件说明</w:t>
      </w:r>
      <w:bookmarkEnd w:id="8"/>
      <w:bookmarkEnd w:id="9"/>
    </w:p>
    <w:p>
      <w:pPr>
        <w:numPr>
          <w:ilvl w:val="0"/>
          <w:numId w:val="2"/>
        </w:numPr>
        <w:spacing w:line="360" w:lineRule="auto"/>
        <w:rPr>
          <w:b/>
          <w:bCs/>
          <w:sz w:val="24"/>
        </w:rPr>
      </w:pPr>
      <w:r>
        <w:rPr>
          <w:rFonts w:hint="eastAsia"/>
          <w:b/>
          <w:bCs/>
          <w:sz w:val="24"/>
        </w:rPr>
        <w:t>招标文件主要包括以下内容：</w:t>
      </w:r>
    </w:p>
    <w:p>
      <w:pPr>
        <w:numPr>
          <w:ilvl w:val="1"/>
          <w:numId w:val="2"/>
        </w:numPr>
        <w:spacing w:line="360" w:lineRule="auto"/>
        <w:rPr>
          <w:bCs/>
          <w:sz w:val="24"/>
        </w:rPr>
      </w:pPr>
      <w:r>
        <w:rPr>
          <w:rFonts w:hint="eastAsia"/>
          <w:bCs/>
          <w:sz w:val="24"/>
        </w:rPr>
        <w:t>投标邀请</w:t>
      </w:r>
    </w:p>
    <w:p>
      <w:pPr>
        <w:numPr>
          <w:ilvl w:val="1"/>
          <w:numId w:val="2"/>
        </w:numPr>
        <w:spacing w:line="360" w:lineRule="auto"/>
        <w:rPr>
          <w:bCs/>
          <w:sz w:val="24"/>
        </w:rPr>
      </w:pPr>
      <w:r>
        <w:rPr>
          <w:rFonts w:hint="eastAsia"/>
          <w:bCs/>
          <w:sz w:val="24"/>
        </w:rPr>
        <w:t>招标项目说明及要求</w:t>
      </w:r>
    </w:p>
    <w:p>
      <w:pPr>
        <w:numPr>
          <w:ilvl w:val="1"/>
          <w:numId w:val="2"/>
        </w:numPr>
        <w:spacing w:line="360" w:lineRule="auto"/>
        <w:rPr>
          <w:bCs/>
          <w:sz w:val="24"/>
        </w:rPr>
      </w:pPr>
      <w:r>
        <w:rPr>
          <w:rFonts w:hint="eastAsia"/>
          <w:bCs/>
          <w:sz w:val="24"/>
        </w:rPr>
        <w:t>投标人须知</w:t>
      </w:r>
    </w:p>
    <w:p>
      <w:pPr>
        <w:numPr>
          <w:ilvl w:val="1"/>
          <w:numId w:val="2"/>
        </w:numPr>
        <w:spacing w:line="360" w:lineRule="auto"/>
        <w:rPr>
          <w:bCs/>
          <w:sz w:val="24"/>
        </w:rPr>
      </w:pPr>
      <w:r>
        <w:rPr>
          <w:rFonts w:hint="eastAsia"/>
          <w:bCs/>
          <w:sz w:val="24"/>
        </w:rPr>
        <w:t>投标文件格式（详见第四章）</w:t>
      </w:r>
    </w:p>
    <w:p>
      <w:pPr>
        <w:numPr>
          <w:ilvl w:val="0"/>
          <w:numId w:val="2"/>
        </w:numPr>
        <w:spacing w:line="360" w:lineRule="auto"/>
        <w:rPr>
          <w:b/>
          <w:bCs/>
          <w:sz w:val="24"/>
        </w:rPr>
      </w:pPr>
      <w:r>
        <w:rPr>
          <w:rFonts w:hint="eastAsia"/>
          <w:b/>
          <w:bCs/>
          <w:sz w:val="24"/>
        </w:rPr>
        <w:t>招标文件的澄清、修改或时间变更</w:t>
      </w:r>
    </w:p>
    <w:p>
      <w:pPr>
        <w:numPr>
          <w:ilvl w:val="1"/>
          <w:numId w:val="2"/>
        </w:numPr>
        <w:spacing w:line="360" w:lineRule="auto"/>
        <w:rPr>
          <w:bCs/>
          <w:sz w:val="24"/>
        </w:rPr>
      </w:pPr>
      <w:r>
        <w:rPr>
          <w:rFonts w:hint="eastAsia"/>
          <w:bCs/>
          <w:sz w:val="24"/>
        </w:rPr>
        <w:t>招标人可以对已发出的招标文件进行必要的澄清或修改，澄清或修改的内容将依法以书面形式通知所有招标文件收受人。该澄清或修改的内容为招标文件的组成部分。</w:t>
      </w:r>
    </w:p>
    <w:p>
      <w:pPr>
        <w:numPr>
          <w:ilvl w:val="1"/>
          <w:numId w:val="2"/>
        </w:numPr>
        <w:spacing w:line="360" w:lineRule="auto"/>
        <w:rPr>
          <w:bCs/>
          <w:sz w:val="24"/>
        </w:rPr>
      </w:pPr>
      <w:r>
        <w:rPr>
          <w:rFonts w:hint="eastAsia"/>
          <w:bCs/>
          <w:sz w:val="24"/>
        </w:rPr>
        <w:t>招标人可视采购具体情况，延长投标截止时间和开标时间，并依法将变更时间书面通知所有招标文件收受人。</w:t>
      </w:r>
    </w:p>
    <w:p>
      <w:pPr>
        <w:tabs>
          <w:tab w:val="left" w:pos="525"/>
          <w:tab w:val="left" w:pos="735"/>
        </w:tabs>
        <w:spacing w:line="360" w:lineRule="auto"/>
        <w:ind w:firstLine="720" w:firstLineChars="300"/>
        <w:rPr>
          <w:rFonts w:ascii="宋体"/>
          <w:sz w:val="24"/>
        </w:rPr>
      </w:pPr>
    </w:p>
    <w:p>
      <w:pPr>
        <w:pStyle w:val="3"/>
        <w:numPr>
          <w:ilvl w:val="0"/>
          <w:numId w:val="4"/>
        </w:numPr>
        <w:jc w:val="center"/>
      </w:pPr>
      <w:bookmarkStart w:id="10" w:name="_Toc28895_WPSOffice_Level2"/>
      <w:bookmarkStart w:id="11" w:name="_Toc153463832"/>
      <w:r>
        <w:rPr>
          <w:rFonts w:hint="eastAsia"/>
        </w:rPr>
        <w:t>投标文件的编写</w:t>
      </w:r>
      <w:bookmarkEnd w:id="10"/>
      <w:bookmarkEnd w:id="11"/>
    </w:p>
    <w:p>
      <w:pPr>
        <w:numPr>
          <w:ilvl w:val="0"/>
          <w:numId w:val="2"/>
        </w:numPr>
        <w:spacing w:line="360" w:lineRule="auto"/>
        <w:rPr>
          <w:rFonts w:ascii="宋体"/>
          <w:b/>
          <w:sz w:val="24"/>
        </w:rPr>
      </w:pPr>
      <w:r>
        <w:rPr>
          <w:rFonts w:hint="eastAsia" w:ascii="宋体"/>
          <w:b/>
          <w:sz w:val="24"/>
        </w:rPr>
        <w:t>要求</w:t>
      </w:r>
    </w:p>
    <w:p>
      <w:pPr>
        <w:tabs>
          <w:tab w:val="left" w:pos="525"/>
          <w:tab w:val="left" w:pos="735"/>
        </w:tabs>
        <w:spacing w:line="360" w:lineRule="auto"/>
        <w:ind w:firstLine="480" w:firstLineChars="200"/>
        <w:rPr>
          <w:rFonts w:ascii="宋体"/>
          <w:sz w:val="24"/>
        </w:rPr>
      </w:pPr>
      <w:r>
        <w:rPr>
          <w:rFonts w:hint="eastAsia" w:ascii="宋体"/>
          <w:sz w:val="24"/>
        </w:rPr>
        <w:t>投标人应当按照招标文件的要求编制投标文件，并保证所提供的全部资料的真实性及准确性，投标文件应对招标文件提出的实质性要求和条件做出完全的响应。</w:t>
      </w:r>
    </w:p>
    <w:p>
      <w:pPr>
        <w:numPr>
          <w:ilvl w:val="0"/>
          <w:numId w:val="2"/>
        </w:numPr>
        <w:spacing w:line="360" w:lineRule="auto"/>
        <w:rPr>
          <w:rFonts w:ascii="宋体"/>
          <w:b/>
          <w:sz w:val="24"/>
        </w:rPr>
      </w:pPr>
      <w:r>
        <w:rPr>
          <w:rFonts w:hint="eastAsia" w:ascii="宋体"/>
          <w:b/>
          <w:sz w:val="24"/>
        </w:rPr>
        <w:t>投标语言及计量单位</w:t>
      </w:r>
    </w:p>
    <w:p>
      <w:pPr>
        <w:numPr>
          <w:ilvl w:val="1"/>
          <w:numId w:val="2"/>
        </w:numPr>
        <w:spacing w:line="360" w:lineRule="auto"/>
        <w:rPr>
          <w:bCs/>
          <w:sz w:val="24"/>
        </w:rPr>
      </w:pPr>
      <w:r>
        <w:rPr>
          <w:rFonts w:hint="eastAsia"/>
          <w:bCs/>
          <w:sz w:val="24"/>
        </w:rPr>
        <w:t>投标人和招标人就投标交换的文件和来往信件，应以中文形式书写。</w:t>
      </w:r>
    </w:p>
    <w:p>
      <w:pPr>
        <w:numPr>
          <w:ilvl w:val="1"/>
          <w:numId w:val="2"/>
        </w:numPr>
        <w:spacing w:line="360" w:lineRule="auto"/>
        <w:rPr>
          <w:bCs/>
          <w:sz w:val="24"/>
        </w:rPr>
      </w:pPr>
      <w:r>
        <w:rPr>
          <w:rFonts w:hint="eastAsia"/>
          <w:bCs/>
          <w:sz w:val="24"/>
        </w:rPr>
        <w:t>招标文件的技术规格中另有规定外，计量单位应使用中华人民共和国法定计量单位。</w:t>
      </w:r>
    </w:p>
    <w:p>
      <w:pPr>
        <w:numPr>
          <w:ilvl w:val="1"/>
          <w:numId w:val="2"/>
        </w:numPr>
        <w:spacing w:line="360" w:lineRule="auto"/>
        <w:rPr>
          <w:bCs/>
          <w:sz w:val="24"/>
        </w:rPr>
      </w:pPr>
      <w:r>
        <w:rPr>
          <w:rFonts w:hint="eastAsia"/>
          <w:bCs/>
          <w:sz w:val="24"/>
        </w:rPr>
        <w:t>投标报价以人民币为货币单位（招标文件另有要求的除外）。</w:t>
      </w:r>
    </w:p>
    <w:p>
      <w:pPr>
        <w:numPr>
          <w:ilvl w:val="0"/>
          <w:numId w:val="2"/>
        </w:numPr>
        <w:spacing w:line="360" w:lineRule="auto"/>
        <w:rPr>
          <w:rFonts w:ascii="宋体"/>
          <w:b/>
          <w:sz w:val="24"/>
        </w:rPr>
      </w:pPr>
      <w:r>
        <w:rPr>
          <w:rFonts w:hint="eastAsia" w:ascii="宋体"/>
          <w:b/>
          <w:sz w:val="24"/>
        </w:rPr>
        <w:t>投标文件的组成</w:t>
      </w:r>
    </w:p>
    <w:p>
      <w:pPr>
        <w:numPr>
          <w:ilvl w:val="1"/>
          <w:numId w:val="2"/>
        </w:numPr>
        <w:spacing w:line="360" w:lineRule="auto"/>
        <w:rPr>
          <w:bCs/>
          <w:sz w:val="24"/>
        </w:rPr>
      </w:pPr>
      <w:r>
        <w:rPr>
          <w:rFonts w:hint="eastAsia"/>
          <w:bCs/>
          <w:sz w:val="24"/>
        </w:rPr>
        <w:t>投标文件应包括下列部分：</w:t>
      </w:r>
    </w:p>
    <w:p>
      <w:pPr>
        <w:numPr>
          <w:ilvl w:val="2"/>
          <w:numId w:val="2"/>
        </w:numPr>
        <w:spacing w:line="360" w:lineRule="auto"/>
        <w:rPr>
          <w:bCs/>
          <w:sz w:val="24"/>
        </w:rPr>
      </w:pPr>
      <w:r>
        <w:rPr>
          <w:rFonts w:hint="eastAsia"/>
          <w:bCs/>
          <w:sz w:val="24"/>
        </w:rPr>
        <w:t>投标书、开标一览表以及投标价格一览表等；</w:t>
      </w:r>
    </w:p>
    <w:p>
      <w:pPr>
        <w:numPr>
          <w:ilvl w:val="2"/>
          <w:numId w:val="2"/>
        </w:numPr>
        <w:spacing w:line="360" w:lineRule="auto"/>
        <w:rPr>
          <w:bCs/>
          <w:sz w:val="24"/>
        </w:rPr>
      </w:pPr>
      <w:r>
        <w:rPr>
          <w:rFonts w:hint="eastAsia"/>
          <w:bCs/>
          <w:sz w:val="24"/>
        </w:rPr>
        <w:t>投标资格证明文件；</w:t>
      </w:r>
    </w:p>
    <w:p>
      <w:pPr>
        <w:numPr>
          <w:ilvl w:val="2"/>
          <w:numId w:val="2"/>
        </w:numPr>
        <w:spacing w:line="360" w:lineRule="auto"/>
        <w:rPr>
          <w:bCs/>
          <w:sz w:val="24"/>
        </w:rPr>
      </w:pPr>
      <w:r>
        <w:rPr>
          <w:rFonts w:hint="eastAsia"/>
          <w:bCs/>
          <w:sz w:val="24"/>
        </w:rPr>
        <w:t>投标货物符合招标文件规定的证明文件、技术响应文件和投标人认为需要加以说明的其他内容。</w:t>
      </w:r>
    </w:p>
    <w:p>
      <w:pPr>
        <w:numPr>
          <w:ilvl w:val="1"/>
          <w:numId w:val="2"/>
        </w:numPr>
        <w:spacing w:line="360" w:lineRule="auto"/>
        <w:rPr>
          <w:bCs/>
          <w:sz w:val="24"/>
        </w:rPr>
      </w:pPr>
      <w:r>
        <w:rPr>
          <w:rFonts w:hint="eastAsia"/>
          <w:bCs/>
          <w:sz w:val="24"/>
        </w:rPr>
        <w:t>投标人应将文件装订成册，并填写投标文件目录或资料清单。</w:t>
      </w:r>
    </w:p>
    <w:p>
      <w:pPr>
        <w:numPr>
          <w:ilvl w:val="0"/>
          <w:numId w:val="2"/>
        </w:numPr>
        <w:spacing w:line="360" w:lineRule="auto"/>
        <w:rPr>
          <w:rFonts w:ascii="宋体"/>
          <w:b/>
          <w:sz w:val="24"/>
        </w:rPr>
      </w:pPr>
      <w:r>
        <w:rPr>
          <w:rFonts w:hint="eastAsia" w:ascii="宋体"/>
          <w:b/>
          <w:sz w:val="24"/>
        </w:rPr>
        <w:t>投标文件格式</w:t>
      </w:r>
    </w:p>
    <w:p>
      <w:pPr>
        <w:numPr>
          <w:ilvl w:val="1"/>
          <w:numId w:val="2"/>
        </w:numPr>
        <w:spacing w:line="360" w:lineRule="auto"/>
        <w:rPr>
          <w:bCs/>
          <w:sz w:val="24"/>
        </w:rPr>
      </w:pPr>
      <w:r>
        <w:rPr>
          <w:rFonts w:hint="eastAsia"/>
          <w:bCs/>
          <w:sz w:val="24"/>
        </w:rPr>
        <w:t>投标人应按招标文件中提供的投标文件格式填写投标书、开标一览表及投标价格一览表，注明提供货物的名称、数量和价格等。</w:t>
      </w:r>
    </w:p>
    <w:p>
      <w:pPr>
        <w:numPr>
          <w:ilvl w:val="1"/>
          <w:numId w:val="2"/>
        </w:numPr>
        <w:spacing w:line="360" w:lineRule="auto"/>
        <w:rPr>
          <w:bCs/>
          <w:sz w:val="24"/>
        </w:rPr>
      </w:pPr>
      <w:r>
        <w:rPr>
          <w:rFonts w:hint="eastAsia"/>
          <w:bCs/>
          <w:sz w:val="24"/>
        </w:rPr>
        <w:t>填写投标价格表时应注意下列要求：</w:t>
      </w:r>
    </w:p>
    <w:p>
      <w:pPr>
        <w:numPr>
          <w:ilvl w:val="2"/>
          <w:numId w:val="2"/>
        </w:numPr>
        <w:spacing w:line="360" w:lineRule="auto"/>
        <w:rPr>
          <w:bCs/>
          <w:sz w:val="24"/>
        </w:rPr>
      </w:pPr>
      <w:r>
        <w:rPr>
          <w:rFonts w:hint="eastAsia"/>
          <w:bCs/>
          <w:sz w:val="24"/>
        </w:rPr>
        <w:t>技术规格中特别要求的备品备件、易损件和专用工具的费用。</w:t>
      </w:r>
    </w:p>
    <w:p>
      <w:pPr>
        <w:numPr>
          <w:ilvl w:val="2"/>
          <w:numId w:val="2"/>
        </w:numPr>
        <w:spacing w:line="360" w:lineRule="auto"/>
        <w:rPr>
          <w:bCs/>
          <w:sz w:val="24"/>
        </w:rPr>
      </w:pPr>
      <w:r>
        <w:rPr>
          <w:rFonts w:hint="eastAsia"/>
          <w:bCs/>
          <w:sz w:val="24"/>
        </w:rPr>
        <w:t>技术规格中特别要求的安装、调试、培训及其它附件服务的费用。</w:t>
      </w:r>
    </w:p>
    <w:p>
      <w:pPr>
        <w:numPr>
          <w:ilvl w:val="2"/>
          <w:numId w:val="2"/>
        </w:numPr>
        <w:spacing w:line="360" w:lineRule="auto"/>
        <w:rPr>
          <w:bCs/>
          <w:sz w:val="24"/>
        </w:rPr>
      </w:pPr>
      <w:r>
        <w:rPr>
          <w:rFonts w:hint="eastAsia"/>
          <w:bCs/>
          <w:sz w:val="24"/>
        </w:rPr>
        <w:t>配套设备或设施的数量和费用。</w:t>
      </w:r>
    </w:p>
    <w:p>
      <w:pPr>
        <w:numPr>
          <w:ilvl w:val="0"/>
          <w:numId w:val="2"/>
        </w:numPr>
        <w:spacing w:line="360" w:lineRule="auto"/>
        <w:rPr>
          <w:rFonts w:ascii="宋体"/>
          <w:b/>
          <w:sz w:val="24"/>
        </w:rPr>
      </w:pPr>
      <w:r>
        <w:rPr>
          <w:rFonts w:hint="eastAsia" w:ascii="宋体"/>
          <w:b/>
          <w:sz w:val="24"/>
        </w:rPr>
        <w:t>投标人资格证明文件</w:t>
      </w:r>
    </w:p>
    <w:p>
      <w:pPr>
        <w:numPr>
          <w:ilvl w:val="1"/>
          <w:numId w:val="2"/>
        </w:numPr>
        <w:spacing w:line="360" w:lineRule="auto"/>
        <w:rPr>
          <w:bCs/>
          <w:sz w:val="24"/>
        </w:rPr>
      </w:pPr>
      <w:r>
        <w:rPr>
          <w:rFonts w:hint="eastAsia"/>
          <w:bCs/>
          <w:sz w:val="24"/>
        </w:rPr>
        <w:t>投标人必须在投标文件中提供的以下证明其有资格进行投标和有能力履行合同的文件：</w:t>
      </w:r>
    </w:p>
    <w:p>
      <w:pPr>
        <w:numPr>
          <w:ilvl w:val="2"/>
          <w:numId w:val="2"/>
        </w:numPr>
        <w:spacing w:line="360" w:lineRule="auto"/>
        <w:rPr>
          <w:bCs/>
          <w:sz w:val="24"/>
        </w:rPr>
      </w:pPr>
      <w:r>
        <w:rPr>
          <w:rFonts w:hint="eastAsia"/>
          <w:bCs/>
          <w:sz w:val="24"/>
        </w:rPr>
        <w:t>投标人的工商营业执照有效复印件壹份。</w:t>
      </w:r>
    </w:p>
    <w:p>
      <w:pPr>
        <w:numPr>
          <w:ilvl w:val="2"/>
          <w:numId w:val="2"/>
        </w:numPr>
        <w:spacing w:line="360" w:lineRule="auto"/>
        <w:rPr>
          <w:bCs/>
          <w:sz w:val="24"/>
        </w:rPr>
      </w:pPr>
      <w:r>
        <w:rPr>
          <w:rFonts w:hint="eastAsia"/>
          <w:bCs/>
          <w:sz w:val="24"/>
        </w:rPr>
        <w:t>法定代表人对投标代表的授权书原件壹份。</w:t>
      </w:r>
    </w:p>
    <w:p>
      <w:pPr>
        <w:numPr>
          <w:ilvl w:val="2"/>
          <w:numId w:val="2"/>
        </w:numPr>
        <w:spacing w:line="360" w:lineRule="auto"/>
        <w:rPr>
          <w:bCs/>
          <w:sz w:val="24"/>
        </w:rPr>
      </w:pPr>
      <w:r>
        <w:rPr>
          <w:rFonts w:hint="eastAsia"/>
          <w:bCs/>
          <w:sz w:val="24"/>
        </w:rPr>
        <w:t>投标货物的制造商通过质量管理体系认证证明。</w:t>
      </w:r>
    </w:p>
    <w:p>
      <w:pPr>
        <w:numPr>
          <w:ilvl w:val="2"/>
          <w:numId w:val="2"/>
        </w:numPr>
        <w:spacing w:line="360" w:lineRule="auto"/>
        <w:rPr>
          <w:bCs/>
          <w:sz w:val="24"/>
        </w:rPr>
      </w:pPr>
      <w:r>
        <w:rPr>
          <w:rFonts w:hint="eastAsia"/>
          <w:bCs/>
          <w:sz w:val="24"/>
        </w:rPr>
        <w:t>投标货物的生产厂家的营业执照复印件和税务登记证明复印件。</w:t>
      </w:r>
    </w:p>
    <w:p>
      <w:pPr>
        <w:numPr>
          <w:ilvl w:val="1"/>
          <w:numId w:val="2"/>
        </w:numPr>
        <w:spacing w:line="360" w:lineRule="auto"/>
        <w:rPr>
          <w:bCs/>
          <w:sz w:val="24"/>
        </w:rPr>
      </w:pPr>
      <w:r>
        <w:rPr>
          <w:rFonts w:hint="eastAsia"/>
          <w:bCs/>
          <w:sz w:val="24"/>
        </w:rPr>
        <w:t>投标人须提供具有履行合同所需的财务、技术和生产能力的证明文件。</w:t>
      </w:r>
    </w:p>
    <w:p>
      <w:pPr>
        <w:numPr>
          <w:ilvl w:val="1"/>
          <w:numId w:val="2"/>
        </w:numPr>
        <w:spacing w:line="360" w:lineRule="auto"/>
        <w:rPr>
          <w:bCs/>
          <w:sz w:val="24"/>
        </w:rPr>
      </w:pPr>
      <w:r>
        <w:rPr>
          <w:rFonts w:hint="eastAsia"/>
          <w:bCs/>
          <w:sz w:val="24"/>
        </w:rPr>
        <w:t>投标人须提供近两年来相关案例的业绩（可追溯，特别是在高校及本省、市的案例），提供合同复印件（原件备查）。</w:t>
      </w:r>
    </w:p>
    <w:p>
      <w:pPr>
        <w:numPr>
          <w:ilvl w:val="0"/>
          <w:numId w:val="2"/>
        </w:numPr>
        <w:spacing w:line="360" w:lineRule="auto"/>
        <w:rPr>
          <w:rFonts w:ascii="宋体"/>
          <w:b/>
          <w:sz w:val="24"/>
        </w:rPr>
      </w:pPr>
      <w:r>
        <w:rPr>
          <w:rFonts w:hint="eastAsia" w:ascii="宋体"/>
          <w:b/>
          <w:sz w:val="24"/>
        </w:rPr>
        <w:t>投标货物符合招标文件规定的技术响应文件：</w:t>
      </w:r>
    </w:p>
    <w:p>
      <w:pPr>
        <w:numPr>
          <w:ilvl w:val="1"/>
          <w:numId w:val="2"/>
        </w:numPr>
        <w:spacing w:line="360" w:lineRule="auto"/>
        <w:rPr>
          <w:bCs/>
          <w:sz w:val="24"/>
        </w:rPr>
      </w:pPr>
      <w:r>
        <w:rPr>
          <w:rFonts w:hint="eastAsia"/>
          <w:bCs/>
          <w:sz w:val="24"/>
        </w:rPr>
        <w:t>投标人须提交证明其提供货物和服务符合招标文件规定的技术响应文件，作为投标文件的一部分。</w:t>
      </w:r>
    </w:p>
    <w:p>
      <w:pPr>
        <w:numPr>
          <w:ilvl w:val="1"/>
          <w:numId w:val="2"/>
        </w:numPr>
        <w:spacing w:line="360" w:lineRule="auto"/>
        <w:rPr>
          <w:bCs/>
          <w:sz w:val="24"/>
        </w:rPr>
      </w:pPr>
      <w:r>
        <w:rPr>
          <w:rFonts w:hint="eastAsia"/>
          <w:bCs/>
          <w:sz w:val="24"/>
        </w:rPr>
        <w:t>上述文件可以是文字资料，图纸和数据，并须提供：</w:t>
      </w:r>
    </w:p>
    <w:p>
      <w:pPr>
        <w:numPr>
          <w:ilvl w:val="2"/>
          <w:numId w:val="2"/>
        </w:numPr>
        <w:spacing w:line="360" w:lineRule="auto"/>
        <w:rPr>
          <w:bCs/>
          <w:sz w:val="24"/>
        </w:rPr>
      </w:pPr>
      <w:r>
        <w:rPr>
          <w:rFonts w:hint="eastAsia"/>
          <w:bCs/>
          <w:sz w:val="24"/>
        </w:rPr>
        <w:t>货物主要技术性能和配套设备建设的详细描述。</w:t>
      </w:r>
    </w:p>
    <w:p>
      <w:pPr>
        <w:numPr>
          <w:ilvl w:val="2"/>
          <w:numId w:val="2"/>
        </w:numPr>
        <w:spacing w:line="360" w:lineRule="auto"/>
        <w:rPr>
          <w:bCs/>
          <w:sz w:val="24"/>
        </w:rPr>
      </w:pPr>
      <w:r>
        <w:rPr>
          <w:rFonts w:hint="eastAsia"/>
          <w:bCs/>
          <w:sz w:val="24"/>
        </w:rPr>
        <w:t>如果规格技术参数有偏离，请填附表</w:t>
      </w:r>
      <w:r>
        <w:rPr>
          <w:bCs/>
          <w:sz w:val="24"/>
        </w:rPr>
        <w:t>4</w:t>
      </w:r>
      <w:r>
        <w:rPr>
          <w:rFonts w:hint="eastAsia"/>
          <w:bCs/>
          <w:sz w:val="24"/>
        </w:rPr>
        <w:t>（规格、技术参数偏离表）。</w:t>
      </w:r>
    </w:p>
    <w:p>
      <w:pPr>
        <w:numPr>
          <w:ilvl w:val="0"/>
          <w:numId w:val="2"/>
        </w:numPr>
        <w:spacing w:line="360" w:lineRule="auto"/>
        <w:rPr>
          <w:rFonts w:ascii="宋体"/>
          <w:b/>
          <w:sz w:val="24"/>
        </w:rPr>
      </w:pPr>
      <w:r>
        <w:rPr>
          <w:rFonts w:hint="eastAsia" w:ascii="宋体"/>
          <w:b/>
          <w:sz w:val="24"/>
        </w:rPr>
        <w:t>投标有效期</w:t>
      </w:r>
    </w:p>
    <w:p>
      <w:pPr>
        <w:tabs>
          <w:tab w:val="left" w:pos="-315"/>
          <w:tab w:val="left" w:pos="735"/>
        </w:tabs>
        <w:spacing w:line="360" w:lineRule="auto"/>
        <w:ind w:firstLine="480" w:firstLineChars="200"/>
        <w:rPr>
          <w:rFonts w:ascii="宋体"/>
          <w:sz w:val="24"/>
        </w:rPr>
      </w:pPr>
      <w:r>
        <w:rPr>
          <w:rFonts w:hint="eastAsia" w:ascii="宋体"/>
          <w:sz w:val="24"/>
        </w:rPr>
        <w:t>投标文件从开标之日起，投标有效期为30天。</w:t>
      </w:r>
    </w:p>
    <w:p>
      <w:pPr>
        <w:numPr>
          <w:ilvl w:val="0"/>
          <w:numId w:val="2"/>
        </w:numPr>
        <w:spacing w:line="360" w:lineRule="auto"/>
        <w:rPr>
          <w:rFonts w:ascii="宋体"/>
          <w:b/>
          <w:sz w:val="24"/>
        </w:rPr>
      </w:pPr>
      <w:r>
        <w:rPr>
          <w:rFonts w:hint="eastAsia" w:ascii="宋体"/>
          <w:b/>
          <w:sz w:val="24"/>
        </w:rPr>
        <w:t>投标文件的签署及规定</w:t>
      </w:r>
    </w:p>
    <w:p>
      <w:pPr>
        <w:numPr>
          <w:ilvl w:val="1"/>
          <w:numId w:val="2"/>
        </w:numPr>
        <w:spacing w:line="360" w:lineRule="auto"/>
        <w:rPr>
          <w:bCs/>
          <w:sz w:val="24"/>
        </w:rPr>
      </w:pPr>
      <w:r>
        <w:rPr>
          <w:rFonts w:hint="eastAsia"/>
          <w:bCs/>
          <w:sz w:val="24"/>
        </w:rPr>
        <w:t>投标文件分</w:t>
      </w:r>
      <w:r>
        <w:rPr>
          <w:rFonts w:hint="eastAsia"/>
          <w:b/>
          <w:bCs/>
          <w:sz w:val="24"/>
        </w:rPr>
        <w:t>正本壹份</w:t>
      </w:r>
      <w:r>
        <w:rPr>
          <w:rFonts w:hint="eastAsia"/>
          <w:bCs/>
          <w:sz w:val="24"/>
        </w:rPr>
        <w:t>和</w:t>
      </w:r>
      <w:r>
        <w:rPr>
          <w:rFonts w:hint="eastAsia"/>
          <w:b/>
          <w:bCs/>
          <w:sz w:val="24"/>
        </w:rPr>
        <w:t>副本肆份</w:t>
      </w:r>
      <w:r>
        <w:rPr>
          <w:rFonts w:hint="eastAsia"/>
          <w:bCs/>
          <w:sz w:val="24"/>
        </w:rPr>
        <w:t>，分别封装。在每一份投标文件及封袋上要明确注明“正本”或“副本”字样，若正本和副本有差异，以正本为准。</w:t>
      </w:r>
    </w:p>
    <w:p>
      <w:pPr>
        <w:numPr>
          <w:ilvl w:val="1"/>
          <w:numId w:val="2"/>
        </w:numPr>
        <w:spacing w:line="360" w:lineRule="auto"/>
        <w:rPr>
          <w:bCs/>
          <w:sz w:val="24"/>
        </w:rPr>
      </w:pPr>
      <w:r>
        <w:rPr>
          <w:rFonts w:hint="eastAsia"/>
          <w:bCs/>
          <w:sz w:val="24"/>
        </w:rPr>
        <w:t>投标文件封口处须加盖投标人印章或由投标代表签名，并标明采购编号、投标项目。</w:t>
      </w:r>
    </w:p>
    <w:p>
      <w:pPr>
        <w:numPr>
          <w:ilvl w:val="1"/>
          <w:numId w:val="2"/>
        </w:numPr>
        <w:spacing w:line="360" w:lineRule="auto"/>
        <w:rPr>
          <w:bCs/>
          <w:sz w:val="24"/>
        </w:rPr>
      </w:pPr>
      <w:r>
        <w:rPr>
          <w:rFonts w:hint="eastAsia"/>
          <w:bCs/>
          <w:sz w:val="24"/>
        </w:rPr>
        <w:t>投标文件正本和副本须打印并经正式授权的投标代表签字。</w:t>
      </w:r>
    </w:p>
    <w:p>
      <w:pPr>
        <w:numPr>
          <w:ilvl w:val="1"/>
          <w:numId w:val="2"/>
        </w:numPr>
        <w:spacing w:line="360" w:lineRule="auto"/>
        <w:rPr>
          <w:bCs/>
          <w:sz w:val="24"/>
        </w:rPr>
      </w:pPr>
      <w:r>
        <w:rPr>
          <w:rFonts w:hint="eastAsia"/>
          <w:bCs/>
          <w:sz w:val="24"/>
        </w:rPr>
        <w:t>除投标人对错处做必要的修改外，投标文件中不允许有加行涂抹。</w:t>
      </w:r>
    </w:p>
    <w:p>
      <w:pPr>
        <w:numPr>
          <w:ilvl w:val="1"/>
          <w:numId w:val="2"/>
        </w:numPr>
        <w:spacing w:line="360" w:lineRule="auto"/>
        <w:rPr>
          <w:bCs/>
          <w:sz w:val="24"/>
        </w:rPr>
      </w:pPr>
      <w:r>
        <w:rPr>
          <w:rFonts w:hint="eastAsia"/>
          <w:bCs/>
          <w:sz w:val="24"/>
        </w:rPr>
        <w:t>以电报、电话、传真或电子邮件等方式的投标概不接受。</w:t>
      </w:r>
    </w:p>
    <w:p>
      <w:pPr>
        <w:pStyle w:val="3"/>
        <w:numPr>
          <w:ilvl w:val="0"/>
          <w:numId w:val="4"/>
        </w:numPr>
        <w:jc w:val="center"/>
      </w:pPr>
      <w:bookmarkStart w:id="12" w:name="_Toc4101_WPSOffice_Level2"/>
      <w:bookmarkStart w:id="13" w:name="_Toc153463833"/>
      <w:r>
        <w:rPr>
          <w:rFonts w:hint="eastAsia"/>
        </w:rPr>
        <w:t>投标文件的递交</w:t>
      </w:r>
      <w:bookmarkEnd w:id="12"/>
      <w:bookmarkEnd w:id="13"/>
    </w:p>
    <w:p>
      <w:pPr>
        <w:numPr>
          <w:ilvl w:val="0"/>
          <w:numId w:val="2"/>
        </w:numPr>
        <w:spacing w:line="360" w:lineRule="auto"/>
        <w:rPr>
          <w:rFonts w:ascii="宋体"/>
          <w:b/>
          <w:sz w:val="24"/>
        </w:rPr>
      </w:pPr>
      <w:r>
        <w:rPr>
          <w:rFonts w:hint="eastAsia" w:ascii="宋体"/>
          <w:b/>
          <w:sz w:val="24"/>
        </w:rPr>
        <w:t>所有投标文件都必须在投标截止时间之前，将投标文件密封后送达投标地点。招标人拒绝接受投标截止时间后送达的投标文件。</w:t>
      </w:r>
    </w:p>
    <w:p>
      <w:pPr>
        <w:numPr>
          <w:ilvl w:val="0"/>
          <w:numId w:val="2"/>
        </w:numPr>
        <w:spacing w:line="360" w:lineRule="auto"/>
        <w:rPr>
          <w:rFonts w:ascii="宋体"/>
          <w:b/>
          <w:sz w:val="24"/>
        </w:rPr>
      </w:pPr>
      <w:r>
        <w:rPr>
          <w:rFonts w:hint="eastAsia" w:ascii="宋体"/>
          <w:b/>
          <w:sz w:val="24"/>
        </w:rPr>
        <w:t>投标人可在投标截止时间前，对所递交的投标文件进行补充、修改或者撤回，并书面通知招标人。补充、修改的内容为投标文件的组成部分。</w:t>
      </w:r>
    </w:p>
    <w:p>
      <w:pPr>
        <w:numPr>
          <w:ilvl w:val="0"/>
          <w:numId w:val="2"/>
        </w:numPr>
        <w:spacing w:line="360" w:lineRule="auto"/>
        <w:rPr>
          <w:rFonts w:ascii="宋体"/>
          <w:b/>
          <w:sz w:val="24"/>
        </w:rPr>
      </w:pPr>
      <w:r>
        <w:rPr>
          <w:rFonts w:hint="eastAsia" w:ascii="宋体"/>
          <w:b/>
          <w:sz w:val="24"/>
        </w:rPr>
        <w:t>投标人对投标文件的修改或撤销应密封递交，并在封面注明“补充、修改投标文件”或“撤销投标”字样。</w:t>
      </w:r>
    </w:p>
    <w:p>
      <w:pPr>
        <w:pStyle w:val="3"/>
        <w:numPr>
          <w:ilvl w:val="0"/>
          <w:numId w:val="4"/>
        </w:numPr>
        <w:jc w:val="center"/>
      </w:pPr>
      <w:bookmarkStart w:id="14" w:name="_Toc15487_WPSOffice_Level2"/>
      <w:bookmarkStart w:id="15" w:name="_Toc153463834"/>
      <w:r>
        <w:rPr>
          <w:rFonts w:hint="eastAsia"/>
        </w:rPr>
        <w:t>开标和评标</w:t>
      </w:r>
      <w:bookmarkEnd w:id="14"/>
      <w:bookmarkEnd w:id="15"/>
    </w:p>
    <w:p>
      <w:pPr>
        <w:numPr>
          <w:ilvl w:val="0"/>
          <w:numId w:val="2"/>
        </w:numPr>
        <w:spacing w:line="360" w:lineRule="auto"/>
        <w:rPr>
          <w:rFonts w:ascii="宋体"/>
          <w:b/>
          <w:sz w:val="24"/>
        </w:rPr>
      </w:pPr>
      <w:r>
        <w:rPr>
          <w:rFonts w:hint="eastAsia" w:ascii="宋体"/>
          <w:b/>
          <w:sz w:val="24"/>
        </w:rPr>
        <w:t>开标</w:t>
      </w:r>
    </w:p>
    <w:p>
      <w:pPr>
        <w:numPr>
          <w:ilvl w:val="1"/>
          <w:numId w:val="2"/>
        </w:numPr>
        <w:spacing w:line="360" w:lineRule="auto"/>
        <w:rPr>
          <w:bCs/>
          <w:sz w:val="24"/>
        </w:rPr>
      </w:pPr>
      <w:r>
        <w:rPr>
          <w:rFonts w:hint="eastAsia"/>
          <w:bCs/>
          <w:sz w:val="24"/>
        </w:rPr>
        <w:t>招标人在招标公告规定的时间或另外确定的时间和地点进行公开开标，投标人和用户可派代表参加。</w:t>
      </w:r>
    </w:p>
    <w:p>
      <w:pPr>
        <w:numPr>
          <w:ilvl w:val="1"/>
          <w:numId w:val="2"/>
        </w:numPr>
        <w:spacing w:line="360" w:lineRule="auto"/>
        <w:rPr>
          <w:bCs/>
          <w:sz w:val="24"/>
        </w:rPr>
      </w:pPr>
      <w:r>
        <w:rPr>
          <w:rFonts w:hint="eastAsia"/>
          <w:bCs/>
          <w:sz w:val="24"/>
        </w:rPr>
        <w:t>开标时，先查验投标文件密封情况，确定无误后拆封唱标。主要公开投标文件正本“开标一览表”内容以及招标人认为必要的其它内容。</w:t>
      </w:r>
    </w:p>
    <w:p>
      <w:pPr>
        <w:numPr>
          <w:ilvl w:val="1"/>
          <w:numId w:val="2"/>
        </w:numPr>
        <w:spacing w:line="360" w:lineRule="auto"/>
        <w:rPr>
          <w:rFonts w:ascii="宋体"/>
          <w:sz w:val="24"/>
        </w:rPr>
      </w:pPr>
      <w:r>
        <w:rPr>
          <w:rFonts w:hint="eastAsia"/>
          <w:bCs/>
          <w:sz w:val="24"/>
        </w:rPr>
        <w:t>开标时，开标一览表（报价表）内容与投标文件中明细表内容不相符的，以开标一览表（报价表）为准。</w:t>
      </w:r>
      <w:r>
        <w:rPr>
          <w:rFonts w:hint="eastAsia" w:ascii="宋体"/>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numPr>
          <w:ilvl w:val="1"/>
          <w:numId w:val="2"/>
        </w:numPr>
        <w:spacing w:line="360" w:lineRule="auto"/>
        <w:rPr>
          <w:bCs/>
          <w:sz w:val="24"/>
        </w:rPr>
      </w:pPr>
      <w:r>
        <w:rPr>
          <w:rFonts w:hint="eastAsia"/>
          <w:bCs/>
          <w:sz w:val="24"/>
        </w:rPr>
        <w:t>开标时，设开标记录员一名，如实记录开标过程发生的事件及唱标主要内容。</w:t>
      </w:r>
    </w:p>
    <w:p>
      <w:pPr>
        <w:numPr>
          <w:ilvl w:val="1"/>
          <w:numId w:val="2"/>
        </w:numPr>
        <w:spacing w:line="360" w:lineRule="auto"/>
        <w:rPr>
          <w:bCs/>
          <w:sz w:val="24"/>
        </w:rPr>
      </w:pPr>
      <w:r>
        <w:rPr>
          <w:rFonts w:hint="eastAsia"/>
          <w:bCs/>
          <w:sz w:val="24"/>
        </w:rPr>
        <w:t>开标时，设开标监督员一名，监督开标程序是否正确，唱标人是否如实公布投标文件主要内容。</w:t>
      </w:r>
    </w:p>
    <w:p>
      <w:pPr>
        <w:numPr>
          <w:ilvl w:val="1"/>
          <w:numId w:val="2"/>
        </w:numPr>
        <w:spacing w:line="360" w:lineRule="auto"/>
        <w:rPr>
          <w:bCs/>
          <w:sz w:val="24"/>
        </w:rPr>
      </w:pPr>
      <w:r>
        <w:rPr>
          <w:rFonts w:hint="eastAsia"/>
          <w:bCs/>
          <w:sz w:val="24"/>
        </w:rPr>
        <w:t>澄清</w:t>
      </w:r>
    </w:p>
    <w:p>
      <w:pPr>
        <w:tabs>
          <w:tab w:val="left" w:pos="525"/>
          <w:tab w:val="left" w:pos="735"/>
        </w:tabs>
        <w:spacing w:line="360" w:lineRule="auto"/>
        <w:ind w:firstLine="480" w:firstLineChars="200"/>
        <w:rPr>
          <w:rFonts w:ascii="宋体"/>
          <w:sz w:val="24"/>
        </w:rPr>
      </w:pPr>
      <w:r>
        <w:rPr>
          <w:rFonts w:hint="eastAsia" w:ascii="宋体"/>
          <w:sz w:val="24"/>
        </w:rPr>
        <w:t>唱标结束后，经开标会主持人同意，投标人代表可就错唱或漏唱的内容要求澄清。澄清要求以开标会现场为准，招标人不接受开标会后的任何澄清要求。</w:t>
      </w:r>
    </w:p>
    <w:p>
      <w:pPr>
        <w:numPr>
          <w:ilvl w:val="0"/>
          <w:numId w:val="2"/>
        </w:numPr>
        <w:spacing w:line="360" w:lineRule="auto"/>
        <w:rPr>
          <w:rFonts w:ascii="宋体"/>
          <w:b/>
          <w:sz w:val="24"/>
        </w:rPr>
      </w:pPr>
      <w:r>
        <w:rPr>
          <w:rFonts w:hint="eastAsia" w:ascii="宋体"/>
          <w:b/>
          <w:sz w:val="24"/>
        </w:rPr>
        <w:t>评标</w:t>
      </w:r>
    </w:p>
    <w:p>
      <w:pPr>
        <w:numPr>
          <w:ilvl w:val="1"/>
          <w:numId w:val="2"/>
        </w:numPr>
        <w:spacing w:line="360" w:lineRule="auto"/>
        <w:rPr>
          <w:bCs/>
          <w:sz w:val="24"/>
        </w:rPr>
      </w:pPr>
      <w:r>
        <w:rPr>
          <w:rFonts w:hint="eastAsia"/>
          <w:bCs/>
          <w:sz w:val="24"/>
        </w:rPr>
        <w:t>招标人将根据招标采购项目特点组建评标委员会，评标委员会对投标文件进行审查、质疑、比较和评价。</w:t>
      </w:r>
    </w:p>
    <w:p>
      <w:pPr>
        <w:numPr>
          <w:ilvl w:val="2"/>
          <w:numId w:val="2"/>
        </w:numPr>
        <w:spacing w:line="360" w:lineRule="auto"/>
        <w:rPr>
          <w:bCs/>
          <w:sz w:val="24"/>
        </w:rPr>
      </w:pPr>
      <w:r>
        <w:rPr>
          <w:rFonts w:hint="eastAsia"/>
          <w:bCs/>
          <w:sz w:val="24"/>
        </w:rPr>
        <w:t>资格性检查。评标委员会依据法律法规和招标文件的规定，对投标文件的证明文件、资格文件、等进行审查，以确定投标人是否具备投标资格。</w:t>
      </w:r>
    </w:p>
    <w:p>
      <w:pPr>
        <w:numPr>
          <w:ilvl w:val="2"/>
          <w:numId w:val="2"/>
        </w:numPr>
        <w:spacing w:line="360" w:lineRule="auto"/>
        <w:rPr>
          <w:bCs/>
          <w:sz w:val="24"/>
        </w:rPr>
      </w:pPr>
      <w:r>
        <w:rPr>
          <w:rFonts w:hint="eastAsia"/>
          <w:bCs/>
          <w:sz w:val="24"/>
        </w:rPr>
        <w:t>符合性检查。评标委员会依据招标文件的规定，从投标文件的有效性、完整性和对招标文件的响应程度进行审查，以确定是否对招标文件的实质性要求作出完全响应。</w:t>
      </w:r>
    </w:p>
    <w:p>
      <w:pPr>
        <w:numPr>
          <w:ilvl w:val="2"/>
          <w:numId w:val="2"/>
        </w:numPr>
        <w:spacing w:line="360" w:lineRule="auto"/>
        <w:rPr>
          <w:bCs/>
          <w:sz w:val="24"/>
        </w:rPr>
      </w:pPr>
      <w:r>
        <w:rPr>
          <w:rFonts w:hint="eastAsia"/>
          <w:bCs/>
          <w:sz w:val="24"/>
        </w:rPr>
        <w:t>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numPr>
          <w:ilvl w:val="2"/>
          <w:numId w:val="2"/>
        </w:numPr>
        <w:spacing w:line="360" w:lineRule="auto"/>
        <w:rPr>
          <w:bCs/>
          <w:sz w:val="24"/>
        </w:rPr>
      </w:pPr>
      <w:r>
        <w:rPr>
          <w:rFonts w:hint="eastAsia"/>
          <w:bCs/>
          <w:sz w:val="24"/>
        </w:rPr>
        <w:t>比较和评价。评标委员会按招标文件中规定的方法和标准，对资格性检查和符合性检查合格的投标文件进行商务和技术评估，综合比较与评价。</w:t>
      </w:r>
    </w:p>
    <w:p>
      <w:pPr>
        <w:numPr>
          <w:ilvl w:val="2"/>
          <w:numId w:val="2"/>
        </w:numPr>
        <w:spacing w:line="360" w:lineRule="auto"/>
        <w:rPr>
          <w:bCs/>
          <w:sz w:val="24"/>
        </w:rPr>
      </w:pPr>
      <w:r>
        <w:rPr>
          <w:rFonts w:hint="eastAsia"/>
          <w:bCs/>
          <w:sz w:val="24"/>
        </w:rPr>
        <w:t>投标文件属下列情况之一的，评标委员会将在资格性、符合性检查时作为无效投标处理：</w:t>
      </w:r>
    </w:p>
    <w:p>
      <w:pPr>
        <w:numPr>
          <w:ilvl w:val="3"/>
          <w:numId w:val="2"/>
        </w:numPr>
        <w:spacing w:line="360" w:lineRule="auto"/>
        <w:rPr>
          <w:bCs/>
          <w:sz w:val="24"/>
        </w:rPr>
      </w:pPr>
      <w:r>
        <w:rPr>
          <w:rFonts w:hint="eastAsia"/>
          <w:bCs/>
          <w:sz w:val="24"/>
        </w:rPr>
        <w:t>投标文件无投标人法人授权代表签字和加盖公章的；</w:t>
      </w:r>
    </w:p>
    <w:p>
      <w:pPr>
        <w:numPr>
          <w:ilvl w:val="3"/>
          <w:numId w:val="2"/>
        </w:numPr>
        <w:spacing w:line="360" w:lineRule="auto"/>
        <w:rPr>
          <w:bCs/>
          <w:sz w:val="24"/>
        </w:rPr>
      </w:pPr>
      <w:r>
        <w:rPr>
          <w:rFonts w:hint="eastAsia"/>
          <w:bCs/>
          <w:sz w:val="24"/>
        </w:rPr>
        <w:t>未按招标文件的要求作有效签署的；</w:t>
      </w:r>
    </w:p>
    <w:p>
      <w:pPr>
        <w:numPr>
          <w:ilvl w:val="3"/>
          <w:numId w:val="2"/>
        </w:numPr>
        <w:spacing w:line="360" w:lineRule="auto"/>
        <w:rPr>
          <w:bCs/>
          <w:sz w:val="24"/>
        </w:rPr>
      </w:pPr>
      <w:r>
        <w:rPr>
          <w:rFonts w:hint="eastAsia"/>
          <w:bCs/>
          <w:sz w:val="24"/>
        </w:rPr>
        <w:t>不具备招标文件中规定资格要求的；</w:t>
      </w:r>
    </w:p>
    <w:p>
      <w:pPr>
        <w:numPr>
          <w:ilvl w:val="3"/>
          <w:numId w:val="2"/>
        </w:numPr>
        <w:spacing w:line="360" w:lineRule="auto"/>
        <w:rPr>
          <w:bCs/>
          <w:sz w:val="24"/>
        </w:rPr>
      </w:pPr>
      <w:r>
        <w:rPr>
          <w:rFonts w:hint="eastAsia"/>
          <w:bCs/>
          <w:sz w:val="24"/>
        </w:rPr>
        <w:t>不符合法律法规和招标文件中规定的其它实质性要求的。</w:t>
      </w:r>
    </w:p>
    <w:p>
      <w:pPr>
        <w:numPr>
          <w:ilvl w:val="1"/>
          <w:numId w:val="2"/>
        </w:numPr>
        <w:spacing w:line="360" w:lineRule="auto"/>
        <w:rPr>
          <w:bCs/>
          <w:sz w:val="24"/>
        </w:rPr>
      </w:pPr>
      <w:r>
        <w:rPr>
          <w:rFonts w:hint="eastAsia"/>
          <w:bCs/>
          <w:sz w:val="24"/>
        </w:rPr>
        <w:t>评标办法</w:t>
      </w:r>
    </w:p>
    <w:p>
      <w:pPr>
        <w:numPr>
          <w:ilvl w:val="2"/>
          <w:numId w:val="2"/>
        </w:numPr>
        <w:spacing w:line="360" w:lineRule="auto"/>
        <w:rPr>
          <w:bCs/>
          <w:sz w:val="24"/>
        </w:rPr>
      </w:pPr>
      <w:r>
        <w:rPr>
          <w:rFonts w:hint="eastAsia" w:ascii="宋体" w:hAnsi="宋体"/>
          <w:sz w:val="24"/>
        </w:rPr>
        <w:t>本次招标采用</w:t>
      </w:r>
      <w:r>
        <w:rPr>
          <w:rFonts w:hint="eastAsia" w:ascii="宋体" w:hAnsi="宋体"/>
          <w:b/>
          <w:sz w:val="24"/>
        </w:rPr>
        <w:t>综合评标法评标</w:t>
      </w:r>
      <w:r>
        <w:rPr>
          <w:rFonts w:hint="eastAsia" w:ascii="宋体" w:hAnsi="宋体"/>
          <w:sz w:val="24"/>
        </w:rPr>
        <w:t>。</w:t>
      </w:r>
      <w:r>
        <w:rPr>
          <w:rFonts w:hint="eastAsia"/>
          <w:bCs/>
          <w:sz w:val="24"/>
        </w:rPr>
        <w:t>首先，由评标委员会根据招标文件要求，审核各投标文件是否合格、有效，凡不符合要求和未能实质性响应招标文件要求的投标文件均不进入评议程序。</w:t>
      </w:r>
    </w:p>
    <w:p>
      <w:pPr>
        <w:numPr>
          <w:ilvl w:val="2"/>
          <w:numId w:val="2"/>
        </w:numPr>
        <w:spacing w:line="360" w:lineRule="auto"/>
        <w:rPr>
          <w:bCs/>
          <w:sz w:val="24"/>
        </w:rPr>
      </w:pPr>
      <w:r>
        <w:rPr>
          <w:rFonts w:hint="eastAsia"/>
          <w:bCs/>
          <w:sz w:val="24"/>
        </w:rPr>
        <w:t>通过以上审核的投标文件，依照以下标准进行评议：</w:t>
      </w:r>
    </w:p>
    <w:p>
      <w:pPr>
        <w:numPr>
          <w:ilvl w:val="3"/>
          <w:numId w:val="2"/>
        </w:numPr>
        <w:spacing w:line="360" w:lineRule="auto"/>
        <w:rPr>
          <w:bCs/>
          <w:sz w:val="24"/>
        </w:rPr>
      </w:pPr>
      <w:r>
        <w:rPr>
          <w:rFonts w:hint="eastAsia"/>
          <w:bCs/>
          <w:sz w:val="24"/>
        </w:rPr>
        <w:t>投标价格、方案的系统性、可靠性、合理性、安全性。</w:t>
      </w:r>
    </w:p>
    <w:p>
      <w:pPr>
        <w:numPr>
          <w:ilvl w:val="3"/>
          <w:numId w:val="2"/>
        </w:numPr>
        <w:spacing w:line="360" w:lineRule="auto"/>
        <w:rPr>
          <w:bCs/>
          <w:sz w:val="24"/>
        </w:rPr>
      </w:pPr>
      <w:r>
        <w:rPr>
          <w:rFonts w:hint="eastAsia"/>
          <w:bCs/>
          <w:sz w:val="24"/>
        </w:rPr>
        <w:t>投标产品品牌、质量和技术性能。</w:t>
      </w:r>
      <w:r>
        <w:rPr>
          <w:rFonts w:hint="eastAsia"/>
          <w:sz w:val="24"/>
        </w:rPr>
        <w:t>主要评审因素有：方案中所提出投标产品的技术规格和指标，投标产品的市场评价，投标产品和备品备件的标准化、系列化以及产品授权。</w:t>
      </w:r>
    </w:p>
    <w:p>
      <w:pPr>
        <w:numPr>
          <w:ilvl w:val="3"/>
          <w:numId w:val="2"/>
        </w:numPr>
        <w:spacing w:line="360" w:lineRule="auto"/>
        <w:rPr>
          <w:bCs/>
          <w:sz w:val="24"/>
        </w:rPr>
      </w:pPr>
      <w:r>
        <w:rPr>
          <w:rFonts w:hint="eastAsia"/>
          <w:bCs/>
          <w:sz w:val="24"/>
        </w:rPr>
        <w:t>投标企业实力。</w:t>
      </w:r>
      <w:r>
        <w:rPr>
          <w:rFonts w:hint="eastAsia"/>
          <w:sz w:val="24"/>
        </w:rPr>
        <w:t>主要评审因素有：企业注册资金、企业规模、品牌代理实力、经营能力、企业管理水平、供货及安装调试时间。</w:t>
      </w:r>
    </w:p>
    <w:p>
      <w:pPr>
        <w:numPr>
          <w:ilvl w:val="3"/>
          <w:numId w:val="2"/>
        </w:numPr>
        <w:spacing w:line="360" w:lineRule="auto"/>
        <w:rPr>
          <w:bCs/>
          <w:sz w:val="24"/>
        </w:rPr>
      </w:pPr>
      <w:r>
        <w:rPr>
          <w:rFonts w:hint="eastAsia"/>
          <w:bCs/>
          <w:sz w:val="24"/>
        </w:rPr>
        <w:t>售后服务。</w:t>
      </w:r>
      <w:r>
        <w:rPr>
          <w:rFonts w:hint="eastAsia"/>
          <w:sz w:val="24"/>
        </w:rPr>
        <w:t>主要评审因素有：投标文件是否满足招标文件的售后服务响应要求、售后服务保证体系、专业的售后服务队伍、本地化技术服务。</w:t>
      </w:r>
    </w:p>
    <w:p>
      <w:pPr>
        <w:numPr>
          <w:ilvl w:val="3"/>
          <w:numId w:val="2"/>
        </w:numPr>
        <w:spacing w:line="360" w:lineRule="auto"/>
        <w:rPr>
          <w:bCs/>
          <w:sz w:val="24"/>
        </w:rPr>
      </w:pPr>
      <w:r>
        <w:rPr>
          <w:rFonts w:hint="eastAsia"/>
          <w:bCs/>
          <w:sz w:val="24"/>
        </w:rPr>
        <w:t>市场信誉。</w:t>
      </w:r>
      <w:r>
        <w:rPr>
          <w:rFonts w:hint="eastAsia"/>
          <w:sz w:val="24"/>
        </w:rPr>
        <w:t>主要评审因素有：投标企业的供货能力、安装调试能力、服务响应能力及市场信誉。</w:t>
      </w:r>
      <w:r>
        <w:rPr>
          <w:sz w:val="24"/>
        </w:rPr>
        <w:t xml:space="preserve"> </w:t>
      </w:r>
    </w:p>
    <w:p>
      <w:pPr>
        <w:numPr>
          <w:ilvl w:val="1"/>
          <w:numId w:val="2"/>
        </w:numPr>
        <w:spacing w:line="360" w:lineRule="auto"/>
        <w:rPr>
          <w:bCs/>
          <w:sz w:val="24"/>
        </w:rPr>
      </w:pPr>
      <w:r>
        <w:rPr>
          <w:rFonts w:hint="eastAsia"/>
          <w:bCs/>
          <w:sz w:val="24"/>
        </w:rPr>
        <w:t>评标说明</w:t>
      </w:r>
    </w:p>
    <w:p>
      <w:pPr>
        <w:numPr>
          <w:ilvl w:val="2"/>
          <w:numId w:val="2"/>
        </w:numPr>
        <w:spacing w:line="360" w:lineRule="auto"/>
        <w:rPr>
          <w:bCs/>
          <w:sz w:val="24"/>
        </w:rPr>
      </w:pPr>
      <w:r>
        <w:rPr>
          <w:rFonts w:hint="eastAsia"/>
          <w:bCs/>
          <w:sz w:val="24"/>
        </w:rPr>
        <w:t>对所有投标人的投标文件评审，都采用相同的程序和标准。</w:t>
      </w:r>
    </w:p>
    <w:p>
      <w:pPr>
        <w:numPr>
          <w:ilvl w:val="2"/>
          <w:numId w:val="2"/>
        </w:numPr>
        <w:spacing w:line="360" w:lineRule="auto"/>
        <w:rPr>
          <w:bCs/>
          <w:sz w:val="24"/>
        </w:rPr>
      </w:pPr>
      <w:r>
        <w:rPr>
          <w:rFonts w:hint="eastAsia"/>
          <w:bCs/>
          <w:sz w:val="24"/>
        </w:rPr>
        <w:t>评标严格按招标文件的要求和条件进行。</w:t>
      </w:r>
    </w:p>
    <w:p>
      <w:pPr>
        <w:numPr>
          <w:ilvl w:val="2"/>
          <w:numId w:val="2"/>
        </w:numPr>
        <w:spacing w:line="360" w:lineRule="auto"/>
        <w:rPr>
          <w:bCs/>
          <w:sz w:val="24"/>
        </w:rPr>
      </w:pPr>
      <w:r>
        <w:rPr>
          <w:rFonts w:hint="eastAsia"/>
          <w:bCs/>
          <w:sz w:val="24"/>
        </w:rPr>
        <w:t>有关投标文件的审查、澄清、评估和比较以及会影响评标工作的一切情况都不得透露给任一投标人或与上述评标工作无关的人员。</w:t>
      </w:r>
    </w:p>
    <w:p>
      <w:pPr>
        <w:numPr>
          <w:ilvl w:val="2"/>
          <w:numId w:val="2"/>
        </w:numPr>
        <w:spacing w:line="360" w:lineRule="auto"/>
        <w:rPr>
          <w:bCs/>
          <w:sz w:val="24"/>
        </w:rPr>
      </w:pPr>
      <w:r>
        <w:rPr>
          <w:rFonts w:hint="eastAsia"/>
          <w:bCs/>
          <w:sz w:val="24"/>
        </w:rPr>
        <w:t>投标人不得干扰招标人组织评标活动，否则将废除其投标。</w:t>
      </w:r>
    </w:p>
    <w:p>
      <w:pPr>
        <w:numPr>
          <w:ilvl w:val="2"/>
          <w:numId w:val="2"/>
        </w:numPr>
        <w:spacing w:line="360" w:lineRule="auto"/>
        <w:rPr>
          <w:bCs/>
          <w:sz w:val="24"/>
        </w:rPr>
      </w:pPr>
      <w:r>
        <w:rPr>
          <w:rFonts w:hint="eastAsia" w:ascii="宋体"/>
          <w:spacing w:val="4"/>
          <w:sz w:val="24"/>
        </w:rPr>
        <w:t>招标人依照</w:t>
      </w:r>
      <w:r>
        <w:rPr>
          <w:rFonts w:hint="eastAsia" w:ascii="宋体" w:hAnsi="宋体"/>
          <w:sz w:val="24"/>
        </w:rPr>
        <w:t>评标委员会</w:t>
      </w:r>
      <w:r>
        <w:rPr>
          <w:rFonts w:hint="eastAsia" w:ascii="宋体"/>
          <w:spacing w:val="4"/>
          <w:sz w:val="24"/>
        </w:rPr>
        <w:t>推荐的中标候选人从中择优确定中标人。定标的程序和办法依照《中华人民共和国招投标法》、《福建省招投标条例》。当有效标不足三个时，招标人可作流标处理，重新招标和议标。</w:t>
      </w:r>
    </w:p>
    <w:p>
      <w:pPr>
        <w:numPr>
          <w:ilvl w:val="2"/>
          <w:numId w:val="2"/>
        </w:numPr>
        <w:spacing w:line="360" w:lineRule="auto"/>
        <w:rPr>
          <w:bCs/>
          <w:sz w:val="24"/>
        </w:rPr>
      </w:pPr>
      <w:r>
        <w:rPr>
          <w:rFonts w:hint="eastAsia"/>
          <w:bCs/>
          <w:sz w:val="24"/>
        </w:rPr>
        <w:t>为保障项目顺利完成，决定在最终确定中标人的同时，从预选中标人中一并明确若干候备中标人。一旦中标者预期违约并导致合同解除，招标人有权直接从候备中标人当中确定新的中标人，而不必另行重新招投标。</w:t>
      </w:r>
    </w:p>
    <w:p>
      <w:pPr>
        <w:pStyle w:val="3"/>
        <w:numPr>
          <w:ilvl w:val="0"/>
          <w:numId w:val="4"/>
        </w:numPr>
        <w:jc w:val="center"/>
      </w:pPr>
      <w:bookmarkStart w:id="16" w:name="_Toc153463835"/>
      <w:bookmarkStart w:id="17" w:name="_Toc28097_WPSOffice_Level2"/>
      <w:r>
        <w:rPr>
          <w:rFonts w:hint="eastAsia"/>
        </w:rPr>
        <w:t>定标</w:t>
      </w:r>
      <w:bookmarkEnd w:id="16"/>
      <w:bookmarkEnd w:id="17"/>
    </w:p>
    <w:p>
      <w:pPr>
        <w:numPr>
          <w:ilvl w:val="0"/>
          <w:numId w:val="2"/>
        </w:numPr>
        <w:spacing w:line="360" w:lineRule="auto"/>
        <w:rPr>
          <w:rFonts w:ascii="宋体"/>
          <w:bCs/>
          <w:sz w:val="24"/>
        </w:rPr>
      </w:pPr>
      <w:r>
        <w:rPr>
          <w:rFonts w:hint="eastAsia" w:ascii="宋体"/>
          <w:bCs/>
          <w:sz w:val="24"/>
        </w:rPr>
        <w:t>招标人不能保证最低报价的投标可以中标。</w:t>
      </w:r>
    </w:p>
    <w:p>
      <w:pPr>
        <w:numPr>
          <w:ilvl w:val="0"/>
          <w:numId w:val="2"/>
        </w:numPr>
        <w:spacing w:line="360" w:lineRule="auto"/>
        <w:rPr>
          <w:rFonts w:ascii="宋体"/>
          <w:bCs/>
          <w:sz w:val="24"/>
        </w:rPr>
      </w:pPr>
      <w:r>
        <w:rPr>
          <w:rFonts w:hint="eastAsia" w:ascii="宋体"/>
          <w:bCs/>
          <w:sz w:val="24"/>
        </w:rPr>
        <w:t>定标后的2个工作日内，招标人以书面形式向中标供应商发出《中标通知书》，中标方按中标通知中规定的时间与用户签订合同以及技术和服务协议。以电话通知的形式向落标供应商发出落标通知。</w:t>
      </w:r>
    </w:p>
    <w:p>
      <w:pPr>
        <w:numPr>
          <w:ilvl w:val="0"/>
          <w:numId w:val="2"/>
        </w:numPr>
        <w:spacing w:line="360" w:lineRule="auto"/>
        <w:rPr>
          <w:rFonts w:ascii="宋体"/>
          <w:bCs/>
          <w:sz w:val="24"/>
        </w:rPr>
      </w:pPr>
      <w:r>
        <w:rPr>
          <w:rFonts w:hint="eastAsia" w:ascii="宋体"/>
          <w:bCs/>
          <w:sz w:val="24"/>
        </w:rPr>
        <w:t>投标保证金退还：</w:t>
      </w:r>
    </w:p>
    <w:p>
      <w:pPr>
        <w:pStyle w:val="5"/>
        <w:spacing w:line="360" w:lineRule="auto"/>
        <w:rPr>
          <w:sz w:val="24"/>
          <w:szCs w:val="24"/>
        </w:rPr>
      </w:pPr>
      <w:r>
        <w:rPr>
          <w:rFonts w:hint="eastAsia" w:ascii="Times New Roman"/>
          <w:sz w:val="24"/>
          <w:szCs w:val="24"/>
        </w:rPr>
        <w:t>落标单位的投标保证金在评标结果公布后的</w:t>
      </w:r>
      <w:r>
        <w:rPr>
          <w:rFonts w:ascii="Times New Roman"/>
          <w:sz w:val="24"/>
          <w:szCs w:val="24"/>
        </w:rPr>
        <w:t>30</w:t>
      </w:r>
      <w:r>
        <w:rPr>
          <w:rFonts w:hint="eastAsia" w:ascii="Times New Roman"/>
          <w:sz w:val="24"/>
          <w:szCs w:val="24"/>
        </w:rPr>
        <w:t>个工作日内退还；中标单位的投标保证金自动转为履约保证金，在货物验收合格之日起</w:t>
      </w:r>
      <w:r>
        <w:rPr>
          <w:rFonts w:ascii="Times New Roman"/>
          <w:sz w:val="24"/>
          <w:szCs w:val="24"/>
        </w:rPr>
        <w:t>30</w:t>
      </w:r>
      <w:r>
        <w:rPr>
          <w:rFonts w:hint="eastAsia" w:ascii="Times New Roman"/>
          <w:sz w:val="24"/>
          <w:szCs w:val="24"/>
        </w:rPr>
        <w:t>个工作日内退还。如果中标单位不与招标方签约，或签约后无法履约，该投标保证金不予退还，招标方保留向中标单位依法追索相关损失的权利。</w:t>
      </w:r>
    </w:p>
    <w:p>
      <w:pPr>
        <w:widowControl/>
        <w:spacing w:line="576" w:lineRule="auto"/>
        <w:jc w:val="left"/>
        <w:rPr>
          <w:b/>
          <w:bCs/>
          <w:kern w:val="44"/>
          <w:sz w:val="44"/>
          <w:szCs w:val="44"/>
        </w:rPr>
        <w:sectPr>
          <w:pgSz w:w="11906" w:h="16838"/>
          <w:pgMar w:top="964" w:right="1191" w:bottom="964" w:left="1191" w:header="851" w:footer="992" w:gutter="0"/>
          <w:cols w:space="720" w:num="1"/>
          <w:docGrid w:type="lines" w:linePitch="312" w:charSpace="0"/>
        </w:sectPr>
      </w:pPr>
    </w:p>
    <w:p>
      <w:pPr>
        <w:pStyle w:val="2"/>
        <w:numPr>
          <w:ilvl w:val="0"/>
          <w:numId w:val="1"/>
        </w:numPr>
        <w:jc w:val="center"/>
      </w:pPr>
      <w:bookmarkStart w:id="18" w:name="_Toc30872_WPSOffice_Level1"/>
      <w:bookmarkStart w:id="19" w:name="_Toc153463836"/>
      <w:r>
        <w:rPr>
          <w:rFonts w:hint="eastAsia"/>
        </w:rPr>
        <w:t>投标文件格式</w:t>
      </w:r>
      <w:bookmarkEnd w:id="18"/>
      <w:bookmarkEnd w:id="19"/>
    </w:p>
    <w:p>
      <w:pPr>
        <w:pStyle w:val="5"/>
        <w:numPr>
          <w:ilvl w:val="1"/>
          <w:numId w:val="4"/>
        </w:numPr>
        <w:spacing w:line="360" w:lineRule="auto"/>
        <w:rPr>
          <w:b/>
          <w:sz w:val="24"/>
          <w:szCs w:val="24"/>
        </w:rPr>
      </w:pPr>
      <w:bookmarkStart w:id="20" w:name="_Toc29740_WPSOffice_Level1"/>
      <w:r>
        <w:rPr>
          <w:rFonts w:hint="eastAsia"/>
          <w:b/>
          <w:sz w:val="24"/>
          <w:szCs w:val="24"/>
        </w:rPr>
        <w:t>报名函</w:t>
      </w:r>
      <w:bookmarkEnd w:id="20"/>
    </w:p>
    <w:p>
      <w:pPr>
        <w:adjustRightInd w:val="0"/>
        <w:snapToGrid w:val="0"/>
        <w:spacing w:line="360" w:lineRule="auto"/>
        <w:jc w:val="left"/>
        <w:rPr>
          <w:rFonts w:ascii="宋体" w:hAnsi="宋体" w:cs="宋体"/>
          <w:bCs/>
          <w:sz w:val="24"/>
          <w:lang w:val="zh-CN"/>
        </w:rPr>
      </w:pPr>
      <w:r>
        <w:rPr>
          <w:rFonts w:hint="eastAsia" w:ascii="宋体" w:hAnsi="宋体" w:cs="宋体"/>
          <w:bCs/>
          <w:sz w:val="24"/>
          <w:lang w:val="zh-CN"/>
        </w:rPr>
        <w:t xml:space="preserve">致：厦门大学嘉庚学院 </w:t>
      </w:r>
    </w:p>
    <w:p>
      <w:pPr>
        <w:adjustRightInd w:val="0"/>
        <w:snapToGrid w:val="0"/>
        <w:spacing w:line="360" w:lineRule="auto"/>
        <w:jc w:val="left"/>
        <w:rPr>
          <w:rFonts w:ascii="宋体" w:hAnsi="宋体" w:cs="宋体"/>
          <w:bCs/>
          <w:sz w:val="24"/>
          <w:lang w:val="zh-CN"/>
        </w:rPr>
      </w:pPr>
    </w:p>
    <w:p>
      <w:pPr>
        <w:adjustRightInd w:val="0"/>
        <w:snapToGrid w:val="0"/>
        <w:spacing w:line="360" w:lineRule="auto"/>
        <w:ind w:firstLine="480" w:firstLineChars="200"/>
        <w:jc w:val="left"/>
        <w:rPr>
          <w:rFonts w:ascii="宋体"/>
          <w:bCs/>
          <w:sz w:val="24"/>
        </w:rPr>
      </w:pPr>
      <w:r>
        <w:rPr>
          <w:rFonts w:hint="eastAsia" w:ascii="宋体" w:hAnsi="宋体"/>
          <w:bCs/>
          <w:sz w:val="24"/>
        </w:rPr>
        <w:t>我公司报名参加</w:t>
      </w:r>
      <w:r>
        <w:rPr>
          <w:rFonts w:hint="eastAsia" w:ascii="黑体" w:hAnsi="宋体" w:eastAsia="黑体" w:cs="宋体"/>
          <w:bCs/>
          <w:i/>
          <w:sz w:val="24"/>
          <w:u w:val="single"/>
          <w:lang w:val="zh-CN"/>
        </w:rPr>
        <w:t xml:space="preserve">  （招标编号）（设备/工程名称）  </w:t>
      </w:r>
      <w:r>
        <w:rPr>
          <w:rFonts w:hint="eastAsia" w:ascii="宋体" w:hAnsi="宋体"/>
          <w:bCs/>
          <w:sz w:val="24"/>
        </w:rPr>
        <w:t>的投标，承诺严格遵守贵方相关的招投标规定，并按照招标文件的要求，准时报送投标文件。现根据招标公告的要求，提供报名材料，望批准。</w:t>
      </w: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ind w:firstLine="480" w:firstLineChars="200"/>
        <w:jc w:val="left"/>
        <w:rPr>
          <w:rFonts w:ascii="宋体"/>
          <w:bCs/>
          <w:sz w:val="24"/>
        </w:rPr>
      </w:pP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bookmarkStart w:id="21" w:name="_Toc1367_WPSOffice_Level2"/>
      <w:r>
        <w:rPr>
          <w:rFonts w:hint="eastAsia" w:ascii="宋体" w:hAnsi="宋体" w:cs="宋体"/>
          <w:bCs/>
          <w:sz w:val="24"/>
        </w:rPr>
        <w:t xml:space="preserve">   </w:t>
      </w:r>
      <w:r>
        <w:rPr>
          <w:rFonts w:hint="eastAsia" w:ascii="宋体" w:hAnsi="宋体" w:cs="宋体"/>
          <w:bCs/>
          <w:sz w:val="24"/>
          <w:lang w:val="zh-CN"/>
        </w:rPr>
        <w:t>公司名称：</w:t>
      </w:r>
      <w:r>
        <w:rPr>
          <w:rFonts w:hint="eastAsia" w:ascii="宋体" w:hAnsi="宋体" w:cs="宋体"/>
          <w:bCs/>
          <w:sz w:val="24"/>
          <w:u w:val="single"/>
          <w:lang w:val="zh-CN"/>
        </w:rPr>
        <w:t xml:space="preserve">                         （盖章）</w:t>
      </w:r>
      <w:bookmarkEnd w:id="21"/>
    </w:p>
    <w:p>
      <w:pPr>
        <w:adjustRightInd w:val="0"/>
        <w:snapToGrid w:val="0"/>
        <w:spacing w:line="360" w:lineRule="auto"/>
        <w:jc w:val="center"/>
        <w:rPr>
          <w:rFonts w:ascii="宋体" w:hAnsi="宋体" w:cs="宋体"/>
          <w:bCs/>
          <w:sz w:val="24"/>
          <w:u w:val="single"/>
          <w:lang w:val="zh-CN"/>
        </w:rPr>
      </w:pPr>
      <w:r>
        <w:rPr>
          <w:rFonts w:hint="eastAsia" w:ascii="宋体" w:hAnsi="宋体" w:cs="宋体"/>
          <w:bCs/>
          <w:sz w:val="24"/>
          <w:lang w:val="zh-CN"/>
        </w:rPr>
        <w:t xml:space="preserve">                                        </w:t>
      </w:r>
      <w:bookmarkStart w:id="22" w:name="_Toc32146_WPSOffice_Level2"/>
      <w:r>
        <w:rPr>
          <w:rFonts w:hint="eastAsia" w:ascii="宋体" w:hAnsi="宋体" w:cs="宋体"/>
          <w:bCs/>
          <w:sz w:val="24"/>
          <w:lang w:val="zh-CN"/>
        </w:rPr>
        <w:t>法定代表人：</w:t>
      </w:r>
      <w:r>
        <w:rPr>
          <w:rFonts w:hint="eastAsia" w:ascii="宋体" w:hAnsi="宋体" w:cs="宋体"/>
          <w:bCs/>
          <w:sz w:val="24"/>
          <w:u w:val="single"/>
          <w:lang w:val="zh-CN"/>
        </w:rPr>
        <w:t xml:space="preserve">     </w:t>
      </w:r>
      <w:r>
        <w:rPr>
          <w:rFonts w:hint="eastAsia" w:ascii="宋体" w:hAnsi="宋体" w:cs="宋体"/>
          <w:bCs/>
          <w:sz w:val="24"/>
          <w:u w:val="single"/>
        </w:rPr>
        <w:t xml:space="preserve">    </w:t>
      </w:r>
      <w:r>
        <w:rPr>
          <w:rFonts w:hint="eastAsia" w:ascii="宋体" w:hAnsi="宋体" w:cs="宋体"/>
          <w:bCs/>
          <w:sz w:val="24"/>
          <w:u w:val="single"/>
          <w:lang w:val="zh-CN"/>
        </w:rPr>
        <w:t>（签字</w:t>
      </w:r>
      <w:bookmarkEnd w:id="22"/>
      <w:r>
        <w:rPr>
          <w:rFonts w:hint="eastAsia" w:ascii="宋体" w:hAnsi="宋体" w:cs="宋体"/>
          <w:bCs/>
          <w:sz w:val="24"/>
          <w:u w:val="single"/>
          <w:lang w:val="zh-CN"/>
        </w:rPr>
        <w:t>）</w:t>
      </w:r>
    </w:p>
    <w:p>
      <w:pPr>
        <w:adjustRightInd w:val="0"/>
        <w:snapToGrid w:val="0"/>
        <w:spacing w:line="360" w:lineRule="auto"/>
        <w:jc w:val="center"/>
        <w:rPr>
          <w:rFonts w:ascii="宋体" w:hAnsi="宋体" w:cs="宋体"/>
          <w:bCs/>
          <w:sz w:val="24"/>
          <w:u w:val="single"/>
        </w:rPr>
      </w:pPr>
      <w:r>
        <w:rPr>
          <w:rFonts w:hint="eastAsia" w:ascii="宋体" w:hAnsi="宋体" w:cs="宋体"/>
          <w:bCs/>
          <w:sz w:val="24"/>
        </w:rPr>
        <w:t xml:space="preserve">                        </w:t>
      </w:r>
      <w:r>
        <w:rPr>
          <w:rFonts w:hint="eastAsia" w:ascii="宋体" w:hAnsi="宋体" w:cs="宋体"/>
          <w:bCs/>
          <w:sz w:val="24"/>
          <w:lang w:val="zh-CN"/>
        </w:rPr>
        <w:t>项目联系人：</w:t>
      </w:r>
      <w:r>
        <w:rPr>
          <w:rFonts w:hint="eastAsia" w:ascii="宋体" w:hAnsi="宋体" w:cs="宋体"/>
          <w:bCs/>
          <w:sz w:val="24"/>
          <w:u w:val="single"/>
        </w:rPr>
        <w:t xml:space="preserve">                </w:t>
      </w:r>
    </w:p>
    <w:p>
      <w:pPr>
        <w:adjustRightInd w:val="0"/>
        <w:snapToGrid w:val="0"/>
        <w:spacing w:line="360" w:lineRule="auto"/>
        <w:jc w:val="center"/>
        <w:rPr>
          <w:rFonts w:ascii="宋体" w:cs="宋体"/>
          <w:bCs/>
          <w:sz w:val="24"/>
          <w:u w:val="single"/>
          <w:lang w:val="zh-CN"/>
        </w:rPr>
      </w:pPr>
      <w:r>
        <w:rPr>
          <w:rFonts w:hint="eastAsia" w:ascii="宋体" w:hAnsi="宋体" w:cs="宋体"/>
          <w:bCs/>
          <w:sz w:val="24"/>
          <w:lang w:val="zh-CN"/>
        </w:rPr>
        <w:t xml:space="preserve">   </w:t>
      </w:r>
      <w:r>
        <w:rPr>
          <w:rFonts w:hint="eastAsia" w:ascii="宋体" w:hAnsi="宋体" w:cs="宋体"/>
          <w:bCs/>
          <w:sz w:val="24"/>
        </w:rPr>
        <w:t xml:space="preserve">                    </w:t>
      </w:r>
      <w:r>
        <w:rPr>
          <w:rFonts w:hint="eastAsia" w:ascii="宋体" w:hAnsi="宋体" w:cs="宋体"/>
          <w:bCs/>
          <w:sz w:val="24"/>
          <w:lang w:val="zh-CN"/>
        </w:rPr>
        <w:t xml:space="preserve"> </w:t>
      </w:r>
      <w:bookmarkStart w:id="23" w:name="_Toc11104_WPSOffice_Level2"/>
      <w:r>
        <w:rPr>
          <w:rFonts w:hint="eastAsia" w:ascii="宋体" w:hAnsi="宋体" w:cs="宋体"/>
          <w:bCs/>
          <w:sz w:val="24"/>
          <w:lang w:val="zh-CN"/>
        </w:rPr>
        <w:t>联系方式：</w:t>
      </w:r>
      <w:bookmarkEnd w:id="23"/>
      <w:r>
        <w:rPr>
          <w:rFonts w:hint="eastAsia" w:ascii="宋体" w:hAnsi="宋体" w:cs="宋体"/>
          <w:bCs/>
          <w:sz w:val="24"/>
          <w:u w:val="single"/>
          <w:lang w:val="zh-CN"/>
        </w:rPr>
        <w:t xml:space="preserve">                    </w:t>
      </w:r>
    </w:p>
    <w:p>
      <w:pPr>
        <w:wordWrap w:val="0"/>
        <w:adjustRightInd w:val="0"/>
        <w:snapToGrid w:val="0"/>
        <w:spacing w:line="360" w:lineRule="auto"/>
        <w:ind w:right="240" w:firstLine="480" w:firstLineChars="200"/>
        <w:jc w:val="right"/>
        <w:rPr>
          <w:rFonts w:ascii="宋体" w:cs="宋体"/>
          <w:bCs/>
          <w:sz w:val="24"/>
          <w:lang w:val="zh-CN"/>
        </w:rPr>
      </w:pPr>
      <w:r>
        <w:rPr>
          <w:rFonts w:hint="eastAsia" w:ascii="宋体" w:hAnsi="宋体" w:cs="宋体"/>
          <w:bCs/>
          <w:sz w:val="24"/>
          <w:lang w:val="zh-CN"/>
        </w:rPr>
        <w:t>日期：</w:t>
      </w:r>
      <w:r>
        <w:rPr>
          <w:rFonts w:hint="eastAsia" w:ascii="宋体" w:hAnsi="宋体" w:cs="宋体"/>
          <w:bCs/>
          <w:sz w:val="24"/>
          <w:u w:val="single"/>
          <w:lang w:val="zh-CN"/>
        </w:rPr>
        <w:t xml:space="preserve">     </w:t>
      </w:r>
      <w:r>
        <w:rPr>
          <w:rFonts w:hint="eastAsia" w:ascii="宋体" w:hAnsi="宋体" w:cs="宋体"/>
          <w:bCs/>
          <w:sz w:val="24"/>
          <w:lang w:val="zh-CN"/>
        </w:rPr>
        <w:t>年</w:t>
      </w:r>
      <w:r>
        <w:rPr>
          <w:rFonts w:hint="eastAsia" w:ascii="宋体" w:hAnsi="宋体" w:cs="宋体"/>
          <w:bCs/>
          <w:sz w:val="24"/>
          <w:u w:val="single"/>
          <w:lang w:val="zh-CN"/>
        </w:rPr>
        <w:t xml:space="preserve">    </w:t>
      </w:r>
      <w:r>
        <w:rPr>
          <w:rFonts w:hint="eastAsia" w:ascii="宋体" w:hAnsi="宋体" w:cs="宋体"/>
          <w:bCs/>
          <w:sz w:val="24"/>
          <w:lang w:val="zh-CN"/>
        </w:rPr>
        <w:t>月</w:t>
      </w:r>
      <w:r>
        <w:rPr>
          <w:rFonts w:hint="eastAsia" w:ascii="宋体" w:hAnsi="宋体" w:cs="宋体"/>
          <w:bCs/>
          <w:sz w:val="24"/>
          <w:u w:val="single"/>
          <w:lang w:val="zh-CN"/>
        </w:rPr>
        <w:t xml:space="preserve">    </w:t>
      </w:r>
      <w:r>
        <w:rPr>
          <w:rFonts w:hint="eastAsia" w:ascii="宋体" w:hAnsi="宋体" w:cs="宋体"/>
          <w:bCs/>
          <w:sz w:val="24"/>
          <w:lang w:val="zh-CN"/>
        </w:rPr>
        <w:t>日</w:t>
      </w: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adjustRightInd w:val="0"/>
        <w:snapToGrid w:val="0"/>
        <w:spacing w:line="360" w:lineRule="auto"/>
        <w:jc w:val="left"/>
        <w:rPr>
          <w:rFonts w:ascii="宋体" w:cs="宋体"/>
          <w:bCs/>
          <w:sz w:val="24"/>
          <w:lang w:val="zh-CN"/>
        </w:rPr>
      </w:pPr>
    </w:p>
    <w:p>
      <w:pPr>
        <w:pStyle w:val="5"/>
        <w:spacing w:line="360" w:lineRule="auto"/>
        <w:ind w:firstLine="0"/>
        <w:rPr>
          <w:sz w:val="24"/>
        </w:rPr>
      </w:pPr>
      <w:r>
        <w:rPr>
          <w:rFonts w:hint="eastAsia" w:cs="宋体"/>
          <w:bCs/>
          <w:sz w:val="24"/>
          <w:szCs w:val="24"/>
          <w:lang w:val="zh-CN"/>
        </w:rPr>
        <w:t>注：报名材料</w:t>
      </w:r>
      <w:r>
        <w:rPr>
          <w:rFonts w:hint="eastAsia"/>
          <w:sz w:val="24"/>
        </w:rPr>
        <w:t>包括投标报名函（加盖公章）、企业法人营业执照复印件（加盖公章）、组织机构代码证复印件（加盖公章）、招标文件要求的相关资质复印件（加盖公章）</w:t>
      </w: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spacing w:line="360" w:lineRule="auto"/>
        <w:ind w:firstLine="0"/>
        <w:rPr>
          <w:sz w:val="24"/>
        </w:rPr>
      </w:pPr>
    </w:p>
    <w:p>
      <w:pPr>
        <w:pStyle w:val="5"/>
        <w:numPr>
          <w:ilvl w:val="1"/>
          <w:numId w:val="4"/>
        </w:numPr>
        <w:spacing w:line="360" w:lineRule="auto"/>
        <w:rPr>
          <w:b/>
          <w:sz w:val="24"/>
          <w:szCs w:val="24"/>
        </w:rPr>
      </w:pPr>
      <w:bookmarkStart w:id="24" w:name="_Toc20838_WPSOffice_Level1"/>
      <w:r>
        <w:rPr>
          <w:rFonts w:hint="eastAsia"/>
          <w:b/>
          <w:sz w:val="24"/>
          <w:szCs w:val="24"/>
        </w:rPr>
        <w:t>投标书</w:t>
      </w:r>
      <w:bookmarkEnd w:id="24"/>
    </w:p>
    <w:p>
      <w:pPr>
        <w:pStyle w:val="5"/>
        <w:spacing w:line="360" w:lineRule="auto"/>
        <w:ind w:firstLine="0"/>
        <w:rPr>
          <w:sz w:val="24"/>
          <w:szCs w:val="24"/>
          <w:u w:val="single"/>
        </w:rPr>
      </w:pPr>
      <w:r>
        <w:rPr>
          <w:rFonts w:hint="eastAsia"/>
          <w:sz w:val="24"/>
          <w:szCs w:val="24"/>
        </w:rPr>
        <w:t xml:space="preserve">致 </w:t>
      </w:r>
      <w:r>
        <w:rPr>
          <w:rFonts w:hint="eastAsia"/>
          <w:sz w:val="24"/>
          <w:szCs w:val="24"/>
          <w:u w:val="single"/>
        </w:rPr>
        <w:t xml:space="preserve"> 厦门大学嘉庚学院</w:t>
      </w:r>
      <w:r>
        <w:rPr>
          <w:rFonts w:hint="eastAsia"/>
          <w:sz w:val="24"/>
          <w:szCs w:val="24"/>
        </w:rPr>
        <w:t>：</w:t>
      </w:r>
    </w:p>
    <w:p>
      <w:pPr>
        <w:pStyle w:val="5"/>
        <w:spacing w:line="360" w:lineRule="auto"/>
        <w:ind w:firstLine="624" w:firstLineChars="260"/>
        <w:rPr>
          <w:sz w:val="24"/>
          <w:szCs w:val="24"/>
          <w:u w:val="single"/>
        </w:rPr>
      </w:pPr>
      <w:r>
        <w:rPr>
          <w:rFonts w:hint="eastAsia"/>
          <w:sz w:val="24"/>
          <w:szCs w:val="24"/>
        </w:rPr>
        <w:t>根据贵方为</w:t>
      </w:r>
      <w:r>
        <w:rPr>
          <w:rFonts w:hint="eastAsia"/>
          <w:sz w:val="24"/>
          <w:szCs w:val="24"/>
          <w:u w:val="single"/>
        </w:rPr>
        <w:t xml:space="preserve">         </w:t>
      </w:r>
      <w:r>
        <w:rPr>
          <w:rFonts w:hint="eastAsia"/>
          <w:sz w:val="24"/>
          <w:szCs w:val="24"/>
        </w:rPr>
        <w:t>（采购编号）招标项目及服务的投标邀请，投标代表</w:t>
      </w:r>
      <w:r>
        <w:rPr>
          <w:rFonts w:hint="eastAsia"/>
          <w:sz w:val="24"/>
          <w:szCs w:val="24"/>
          <w:u w:val="single"/>
        </w:rPr>
        <w:t xml:space="preserve">    </w:t>
      </w:r>
      <w:r>
        <w:rPr>
          <w:rFonts w:hint="eastAsia"/>
          <w:sz w:val="24"/>
          <w:szCs w:val="24"/>
        </w:rPr>
        <w:t>（全名、职务），经正式授权并代表投标人</w:t>
      </w:r>
      <w:r>
        <w:rPr>
          <w:rFonts w:hint="eastAsia"/>
          <w:sz w:val="24"/>
          <w:szCs w:val="24"/>
          <w:u w:val="single"/>
        </w:rPr>
        <w:t xml:space="preserve">        </w:t>
      </w:r>
      <w:r>
        <w:rPr>
          <w:rFonts w:hint="eastAsia"/>
          <w:sz w:val="24"/>
          <w:szCs w:val="24"/>
        </w:rPr>
        <w:t>（投标人名称）按招标书规定提交投标文件</w:t>
      </w:r>
      <w:r>
        <w:rPr>
          <w:rFonts w:hint="eastAsia"/>
          <w:b/>
          <w:sz w:val="24"/>
          <w:szCs w:val="24"/>
        </w:rPr>
        <w:t>正本壹份</w:t>
      </w:r>
      <w:r>
        <w:rPr>
          <w:rFonts w:hint="eastAsia"/>
          <w:sz w:val="24"/>
          <w:szCs w:val="24"/>
        </w:rPr>
        <w:t>和</w:t>
      </w:r>
      <w:r>
        <w:rPr>
          <w:rFonts w:hint="eastAsia"/>
          <w:b/>
          <w:sz w:val="24"/>
          <w:szCs w:val="24"/>
        </w:rPr>
        <w:t>副本肆份</w:t>
      </w:r>
      <w:r>
        <w:rPr>
          <w:rFonts w:hint="eastAsia"/>
          <w:sz w:val="24"/>
          <w:szCs w:val="24"/>
        </w:rPr>
        <w:t>。</w:t>
      </w:r>
    </w:p>
    <w:p>
      <w:pPr>
        <w:pStyle w:val="5"/>
        <w:spacing w:line="360" w:lineRule="auto"/>
        <w:rPr>
          <w:sz w:val="24"/>
          <w:szCs w:val="24"/>
        </w:rPr>
      </w:pPr>
      <w:bookmarkStart w:id="25" w:name="_Toc14389_WPSOffice_Level2"/>
      <w:r>
        <w:rPr>
          <w:rFonts w:hint="eastAsia"/>
          <w:sz w:val="24"/>
          <w:szCs w:val="24"/>
        </w:rPr>
        <w:t>1、投标书、开标一览表、系统配置清单及投标价格一览表</w:t>
      </w:r>
      <w:bookmarkEnd w:id="25"/>
    </w:p>
    <w:p>
      <w:pPr>
        <w:pStyle w:val="5"/>
        <w:spacing w:line="360" w:lineRule="auto"/>
        <w:rPr>
          <w:sz w:val="24"/>
          <w:szCs w:val="24"/>
        </w:rPr>
      </w:pPr>
      <w:bookmarkStart w:id="26" w:name="_Toc920_WPSOffice_Level2"/>
      <w:r>
        <w:rPr>
          <w:rFonts w:hint="eastAsia"/>
          <w:sz w:val="24"/>
          <w:szCs w:val="24"/>
        </w:rPr>
        <w:t>2、规格、技术参数偏离表</w:t>
      </w:r>
      <w:bookmarkEnd w:id="26"/>
    </w:p>
    <w:p>
      <w:pPr>
        <w:pStyle w:val="5"/>
        <w:spacing w:line="360" w:lineRule="auto"/>
        <w:ind w:firstLineChars="177"/>
        <w:rPr>
          <w:sz w:val="24"/>
          <w:szCs w:val="24"/>
        </w:rPr>
      </w:pPr>
      <w:bookmarkStart w:id="27" w:name="_Toc17069_WPSOffice_Level2"/>
      <w:r>
        <w:rPr>
          <w:rFonts w:hint="eastAsia"/>
          <w:sz w:val="24"/>
          <w:szCs w:val="24"/>
        </w:rPr>
        <w:t>3、资格证明文件</w:t>
      </w:r>
      <w:bookmarkEnd w:id="27"/>
    </w:p>
    <w:p>
      <w:pPr>
        <w:pStyle w:val="5"/>
        <w:spacing w:line="360" w:lineRule="auto"/>
        <w:ind w:firstLineChars="177"/>
        <w:rPr>
          <w:sz w:val="24"/>
          <w:szCs w:val="24"/>
        </w:rPr>
      </w:pPr>
      <w:bookmarkStart w:id="28" w:name="_Toc32675_WPSOffice_Level2"/>
      <w:r>
        <w:rPr>
          <w:rFonts w:hint="eastAsia"/>
          <w:sz w:val="24"/>
          <w:szCs w:val="24"/>
        </w:rPr>
        <w:t>4、按投标人须知要求提供的及投标文件应包括全部文件</w:t>
      </w:r>
      <w:bookmarkEnd w:id="28"/>
    </w:p>
    <w:p>
      <w:pPr>
        <w:pStyle w:val="5"/>
        <w:spacing w:line="360" w:lineRule="auto"/>
        <w:rPr>
          <w:sz w:val="24"/>
          <w:szCs w:val="24"/>
        </w:rPr>
      </w:pPr>
      <w:r>
        <w:rPr>
          <w:rFonts w:hint="eastAsia"/>
          <w:sz w:val="24"/>
          <w:szCs w:val="24"/>
        </w:rPr>
        <w:t>据此函，投标人同意遵守如下条款：</w:t>
      </w:r>
    </w:p>
    <w:p>
      <w:pPr>
        <w:pStyle w:val="5"/>
        <w:spacing w:line="360" w:lineRule="auto"/>
        <w:rPr>
          <w:sz w:val="24"/>
          <w:szCs w:val="24"/>
        </w:rPr>
      </w:pPr>
      <w:r>
        <w:rPr>
          <w:rFonts w:hint="eastAsia"/>
          <w:sz w:val="24"/>
          <w:szCs w:val="24"/>
        </w:rPr>
        <w:t>1、投标人将按招标文件规定履行合同责任和义务。</w:t>
      </w:r>
    </w:p>
    <w:p>
      <w:pPr>
        <w:pStyle w:val="5"/>
        <w:spacing w:line="360" w:lineRule="auto"/>
        <w:rPr>
          <w:sz w:val="24"/>
          <w:szCs w:val="24"/>
        </w:rPr>
      </w:pPr>
      <w:r>
        <w:rPr>
          <w:rFonts w:hint="eastAsia"/>
          <w:sz w:val="24"/>
          <w:szCs w:val="24"/>
        </w:rPr>
        <w:t>2、投标人已详细审查全部招标文件，包括修改文件（如有的话）以及全部参考资料和相关附件。我们完全理解并同意放弃对这方面有不明及误解的权利。</w:t>
      </w:r>
    </w:p>
    <w:p>
      <w:pPr>
        <w:pStyle w:val="5"/>
        <w:spacing w:line="360" w:lineRule="auto"/>
        <w:rPr>
          <w:sz w:val="24"/>
          <w:szCs w:val="24"/>
        </w:rPr>
      </w:pPr>
      <w:r>
        <w:rPr>
          <w:rFonts w:hint="eastAsia"/>
          <w:sz w:val="24"/>
          <w:szCs w:val="24"/>
        </w:rPr>
        <w:t>3、投标人同意提供按照招标人可能要求的与投标有关的一切数据或资料，完全理解招标人不一定要接受最低价的投标或收到的任何投标。</w:t>
      </w:r>
    </w:p>
    <w:p>
      <w:pPr>
        <w:pStyle w:val="5"/>
        <w:spacing w:line="360" w:lineRule="auto"/>
        <w:rPr>
          <w:sz w:val="24"/>
          <w:szCs w:val="24"/>
        </w:rPr>
      </w:pPr>
      <w:r>
        <w:rPr>
          <w:rFonts w:hint="eastAsia"/>
          <w:sz w:val="24"/>
          <w:szCs w:val="24"/>
        </w:rPr>
        <w:t>4、与投标有关的一切正式往来通讯，请寄：</w:t>
      </w:r>
    </w:p>
    <w:p>
      <w:pPr>
        <w:pStyle w:val="5"/>
        <w:spacing w:line="360" w:lineRule="auto"/>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rPr>
        <w:t>邮编：</w:t>
      </w:r>
      <w:r>
        <w:rPr>
          <w:rFonts w:hint="eastAsia"/>
          <w:sz w:val="24"/>
          <w:szCs w:val="24"/>
          <w:u w:val="single"/>
        </w:rPr>
        <w:t xml:space="preserve">   </w:t>
      </w:r>
    </w:p>
    <w:p>
      <w:pPr>
        <w:pStyle w:val="5"/>
        <w:spacing w:line="360" w:lineRule="auto"/>
        <w:rPr>
          <w:sz w:val="24"/>
          <w:szCs w:val="24"/>
          <w:u w:val="single"/>
        </w:rPr>
      </w:pPr>
      <w:r>
        <w:rPr>
          <w:rFonts w:hint="eastAsia"/>
          <w:sz w:val="24"/>
          <w:szCs w:val="24"/>
        </w:rPr>
        <w:t>电话：</w:t>
      </w:r>
      <w:r>
        <w:rPr>
          <w:rFonts w:hint="eastAsia"/>
          <w:sz w:val="24"/>
          <w:szCs w:val="24"/>
          <w:u w:val="single"/>
        </w:rPr>
        <w:t xml:space="preserve">   </w:t>
      </w:r>
      <w:r>
        <w:rPr>
          <w:rFonts w:hint="eastAsia"/>
          <w:sz w:val="24"/>
          <w:szCs w:val="24"/>
        </w:rPr>
        <w:t>传真：</w:t>
      </w:r>
      <w:r>
        <w:rPr>
          <w:rFonts w:hint="eastAsia"/>
          <w:sz w:val="24"/>
          <w:szCs w:val="24"/>
          <w:u w:val="single"/>
        </w:rPr>
        <w:t xml:space="preserve">   </w:t>
      </w:r>
    </w:p>
    <w:p>
      <w:pPr>
        <w:pStyle w:val="5"/>
        <w:spacing w:line="360" w:lineRule="auto"/>
        <w:rPr>
          <w:sz w:val="24"/>
          <w:szCs w:val="24"/>
        </w:rPr>
      </w:pPr>
      <w:r>
        <w:rPr>
          <w:rFonts w:hint="eastAsia"/>
          <w:sz w:val="24"/>
          <w:szCs w:val="24"/>
        </w:rPr>
        <w:t>投标代表姓名，职务</w:t>
      </w:r>
      <w:r>
        <w:rPr>
          <w:rFonts w:hint="eastAsia"/>
          <w:sz w:val="24"/>
          <w:szCs w:val="24"/>
          <w:u w:val="single"/>
        </w:rPr>
        <w:t xml:space="preserve">   </w:t>
      </w:r>
    </w:p>
    <w:p>
      <w:pPr>
        <w:pStyle w:val="5"/>
        <w:spacing w:line="360" w:lineRule="auto"/>
        <w:rPr>
          <w:sz w:val="24"/>
          <w:szCs w:val="24"/>
          <w:u w:val="single"/>
        </w:rPr>
      </w:pPr>
      <w:r>
        <w:rPr>
          <w:rFonts w:hint="eastAsia"/>
          <w:sz w:val="24"/>
          <w:szCs w:val="24"/>
        </w:rPr>
        <w:t>投标人全称（加盖公章）</w:t>
      </w:r>
      <w:r>
        <w:rPr>
          <w:rFonts w:hint="eastAsia"/>
          <w:sz w:val="24"/>
          <w:szCs w:val="24"/>
          <w:u w:val="single"/>
        </w:rPr>
        <w:t xml:space="preserve">   </w:t>
      </w:r>
    </w:p>
    <w:p>
      <w:pPr>
        <w:pStyle w:val="5"/>
        <w:spacing w:line="360" w:lineRule="auto"/>
        <w:rPr>
          <w:sz w:val="24"/>
          <w:szCs w:val="24"/>
        </w:rPr>
      </w:pPr>
      <w:r>
        <w:rPr>
          <w:rFonts w:hint="eastAsia"/>
          <w:sz w:val="24"/>
          <w:szCs w:val="24"/>
        </w:rPr>
        <w:t>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29" w:name="_Toc85_WPSOffice_Level1"/>
      <w:r>
        <w:rPr>
          <w:rFonts w:hint="eastAsia"/>
          <w:b/>
          <w:sz w:val="24"/>
          <w:szCs w:val="24"/>
        </w:rPr>
        <w:t>开标一览表</w:t>
      </w:r>
      <w:bookmarkEnd w:id="29"/>
    </w:p>
    <w:p>
      <w:pPr>
        <w:pStyle w:val="5"/>
        <w:spacing w:line="360" w:lineRule="auto"/>
        <w:ind w:firstLine="0"/>
        <w:rPr>
          <w:sz w:val="24"/>
          <w:szCs w:val="24"/>
          <w:u w:val="single"/>
        </w:rPr>
      </w:pPr>
      <w:r>
        <w:rPr>
          <w:rFonts w:hint="eastAsia"/>
          <w:sz w:val="24"/>
          <w:szCs w:val="24"/>
        </w:rPr>
        <w:t>投标人全称（加盖公章）</w:t>
      </w:r>
      <w:r>
        <w:rPr>
          <w:rFonts w:hint="eastAsia"/>
          <w:sz w:val="24"/>
          <w:szCs w:val="24"/>
          <w:u w:val="single"/>
        </w:rPr>
        <w:t xml:space="preserve">   </w:t>
      </w:r>
    </w:p>
    <w:p>
      <w:pPr>
        <w:pStyle w:val="5"/>
        <w:tabs>
          <w:tab w:val="left" w:pos="3570"/>
        </w:tabs>
        <w:spacing w:line="360" w:lineRule="auto"/>
        <w:ind w:right="-21" w:rightChars="-10" w:firstLine="0"/>
        <w:rPr>
          <w:sz w:val="24"/>
          <w:szCs w:val="24"/>
          <w:u w:val="single"/>
        </w:rPr>
      </w:pPr>
      <w:r>
        <w:rPr>
          <w:rFonts w:hint="eastAsia"/>
          <w:sz w:val="24"/>
          <w:szCs w:val="24"/>
        </w:rPr>
        <w:t>采购编号：</w:t>
      </w:r>
      <w:r>
        <w:rPr>
          <w:rFonts w:hint="eastAsia"/>
          <w:sz w:val="24"/>
          <w:szCs w:val="24"/>
          <w:u w:val="singl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422"/>
        <w:gridCol w:w="1066"/>
        <w:gridCol w:w="1260"/>
        <w:gridCol w:w="12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项目名称</w:t>
            </w: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型号规格</w:t>
            </w: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单价</w:t>
            </w: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合价</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交货期</w:t>
            </w: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rPr>
            </w:pPr>
            <w:r>
              <w:rPr>
                <w:rFonts w:hint="eastAsia"/>
                <w:sz w:val="24"/>
                <w:szCs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422"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66"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5"/>
              <w:tabs>
                <w:tab w:val="left" w:pos="3570"/>
              </w:tabs>
              <w:spacing w:line="360" w:lineRule="auto"/>
              <w:ind w:right="-21" w:rightChars="-10" w:firstLine="0"/>
              <w:jc w:val="center"/>
              <w:rPr>
                <w:sz w:val="24"/>
                <w:szCs w:val="24"/>
                <w:u w:val="single"/>
              </w:rPr>
            </w:pPr>
          </w:p>
        </w:tc>
      </w:tr>
    </w:tbl>
    <w:p>
      <w:pPr>
        <w:pStyle w:val="5"/>
        <w:tabs>
          <w:tab w:val="left" w:pos="3570"/>
        </w:tabs>
        <w:spacing w:line="360" w:lineRule="auto"/>
        <w:ind w:right="-21" w:rightChars="-10" w:firstLine="0"/>
        <w:rPr>
          <w:rFonts w:hAnsi="Times New Roman"/>
          <w:sz w:val="24"/>
          <w:szCs w:val="24"/>
        </w:rPr>
      </w:pPr>
    </w:p>
    <w:p>
      <w:pPr>
        <w:pStyle w:val="5"/>
        <w:tabs>
          <w:tab w:val="left" w:pos="3570"/>
        </w:tabs>
        <w:spacing w:line="360" w:lineRule="auto"/>
        <w:ind w:right="-21" w:rightChars="-10" w:firstLine="0"/>
        <w:rPr>
          <w:sz w:val="24"/>
          <w:szCs w:val="24"/>
        </w:rPr>
      </w:pPr>
      <w:r>
        <w:rPr>
          <w:rFonts w:hint="eastAsia"/>
          <w:sz w:val="24"/>
          <w:szCs w:val="24"/>
        </w:rPr>
        <w:t>合同总报价：</w:t>
      </w:r>
    </w:p>
    <w:p>
      <w:pPr>
        <w:pStyle w:val="5"/>
        <w:spacing w:line="360" w:lineRule="auto"/>
        <w:ind w:firstLine="0"/>
        <w:rPr>
          <w:sz w:val="24"/>
          <w:szCs w:val="24"/>
          <w:u w:val="single"/>
        </w:rPr>
      </w:pPr>
      <w:r>
        <w:rPr>
          <w:rFonts w:hint="eastAsia"/>
          <w:sz w:val="24"/>
          <w:szCs w:val="24"/>
        </w:rPr>
        <w:t>投标代表签字职务</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rPr>
        <w:t>日期</w:t>
      </w:r>
      <w:r>
        <w:rPr>
          <w:rFonts w:hint="eastAsia"/>
          <w:sz w:val="24"/>
          <w:szCs w:val="24"/>
          <w:u w:val="single"/>
        </w:rPr>
        <w:t xml:space="preserve">   </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0" w:name="_Toc9457_WPSOffice_Level1"/>
      <w:r>
        <w:rPr>
          <w:rFonts w:hint="eastAsia"/>
          <w:b/>
          <w:sz w:val="24"/>
          <w:szCs w:val="24"/>
        </w:rPr>
        <w:t>系统配置清单及投标价格一览表</w:t>
      </w:r>
      <w:bookmarkEnd w:id="30"/>
    </w:p>
    <w:p>
      <w:pPr>
        <w:pStyle w:val="5"/>
        <w:spacing w:line="360" w:lineRule="auto"/>
        <w:ind w:firstLine="0"/>
        <w:rPr>
          <w:sz w:val="24"/>
          <w:szCs w:val="24"/>
        </w:rPr>
      </w:pPr>
      <w:r>
        <w:rPr>
          <w:rFonts w:hint="eastAsia"/>
          <w:sz w:val="24"/>
          <w:szCs w:val="24"/>
        </w:rPr>
        <w:t>投标人全称（加盖公章）</w:t>
      </w:r>
      <w:r>
        <w:rPr>
          <w:rFonts w:hint="eastAsia"/>
          <w:sz w:val="24"/>
          <w:szCs w:val="24"/>
          <w:u w:val="single"/>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57"/>
        <w:gridCol w:w="1417"/>
        <w:gridCol w:w="755"/>
        <w:gridCol w:w="982"/>
        <w:gridCol w:w="1058"/>
        <w:gridCol w:w="156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序号</w:t>
            </w: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型号规格</w:t>
            </w: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数量</w:t>
            </w: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单价</w:t>
            </w: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合价</w:t>
            </w: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r>
              <w:rPr>
                <w:rFonts w:hint="eastAsia"/>
                <w:sz w:val="24"/>
                <w:szCs w:val="24"/>
              </w:rPr>
              <w:t>保修期</w:t>
            </w: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5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98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c>
          <w:tcPr>
            <w:tcW w:w="1560"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sz w:val="24"/>
                <w:szCs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pStyle w:val="5"/>
        <w:spacing w:line="360" w:lineRule="auto"/>
        <w:ind w:firstLine="0"/>
        <w:rPr>
          <w:sz w:val="24"/>
          <w:szCs w:val="24"/>
          <w:u w:val="single"/>
        </w:rPr>
      </w:pPr>
    </w:p>
    <w:p>
      <w:pPr>
        <w:pStyle w:val="5"/>
        <w:numPr>
          <w:ilvl w:val="1"/>
          <w:numId w:val="4"/>
        </w:numPr>
        <w:spacing w:line="360" w:lineRule="auto"/>
        <w:rPr>
          <w:b/>
          <w:sz w:val="24"/>
          <w:szCs w:val="24"/>
        </w:rPr>
      </w:pPr>
      <w:bookmarkStart w:id="31" w:name="_Toc6837_WPSOffice_Level1"/>
      <w:r>
        <w:rPr>
          <w:rFonts w:hint="eastAsia"/>
          <w:b/>
          <w:sz w:val="24"/>
          <w:szCs w:val="24"/>
        </w:rPr>
        <w:t>规格、技术参数偏离表</w:t>
      </w:r>
      <w:bookmarkEnd w:id="31"/>
    </w:p>
    <w:p>
      <w:pPr>
        <w:pStyle w:val="5"/>
        <w:spacing w:line="360" w:lineRule="auto"/>
        <w:ind w:firstLine="0"/>
        <w:rPr>
          <w:bCs/>
          <w:sz w:val="24"/>
          <w:szCs w:val="24"/>
          <w:u w:val="single"/>
        </w:rPr>
      </w:pPr>
      <w:r>
        <w:rPr>
          <w:rFonts w:hint="eastAsia"/>
          <w:bCs/>
          <w:sz w:val="24"/>
          <w:szCs w:val="24"/>
        </w:rPr>
        <w:t>投标人全称（加盖公章）</w:t>
      </w:r>
      <w:r>
        <w:rPr>
          <w:rFonts w:hint="eastAsia"/>
          <w:bCs/>
          <w:sz w:val="24"/>
          <w:szCs w:val="24"/>
          <w:u w:val="single"/>
        </w:rPr>
        <w:t xml:space="preserve">  </w:t>
      </w:r>
    </w:p>
    <w:tbl>
      <w:tblPr>
        <w:tblStyle w:val="12"/>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项目名称</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招标规格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投标规格</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偏离情况</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bl>
    <w:p>
      <w:pPr>
        <w:pStyle w:val="5"/>
        <w:spacing w:line="360" w:lineRule="auto"/>
        <w:ind w:firstLine="0"/>
        <w:rPr>
          <w:rFonts w:hAnsi="Times New Roman"/>
          <w:sz w:val="24"/>
          <w:szCs w:val="24"/>
        </w:rPr>
      </w:pPr>
      <w:r>
        <w:rPr>
          <w:rFonts w:hint="eastAsia"/>
          <w:sz w:val="24"/>
          <w:szCs w:val="24"/>
        </w:rPr>
        <w:t>投标代表签字</w:t>
      </w:r>
    </w:p>
    <w:p>
      <w:pPr>
        <w:pStyle w:val="5"/>
        <w:spacing w:line="360" w:lineRule="auto"/>
        <w:ind w:firstLine="0"/>
        <w:rPr>
          <w:sz w:val="24"/>
          <w:szCs w:val="24"/>
          <w:u w:val="single"/>
        </w:rPr>
      </w:pPr>
      <w:r>
        <w:rPr>
          <w:rFonts w:hint="eastAsia"/>
          <w:sz w:val="24"/>
          <w:szCs w:val="24"/>
        </w:rPr>
        <w:t>日期</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2" w:name="_Toc18319_WPSOffice_Level1"/>
      <w:r>
        <w:rPr>
          <w:rFonts w:hint="eastAsia"/>
          <w:b/>
          <w:sz w:val="24"/>
          <w:szCs w:val="24"/>
        </w:rPr>
        <w:t>法定代表人授权书（原件）</w:t>
      </w:r>
      <w:bookmarkEnd w:id="32"/>
    </w:p>
    <w:p>
      <w:pPr>
        <w:pStyle w:val="5"/>
        <w:spacing w:line="360" w:lineRule="auto"/>
        <w:ind w:firstLine="480" w:firstLineChars="200"/>
        <w:rPr>
          <w:sz w:val="24"/>
          <w:szCs w:val="24"/>
        </w:rPr>
      </w:pPr>
      <w:r>
        <w:rPr>
          <w:rFonts w:hint="eastAsia"/>
          <w:sz w:val="24"/>
          <w:szCs w:val="24"/>
        </w:rPr>
        <w:t>兹有</w:t>
      </w:r>
      <w:r>
        <w:rPr>
          <w:rFonts w:hint="eastAsia"/>
          <w:sz w:val="24"/>
          <w:szCs w:val="24"/>
          <w:u w:val="single"/>
        </w:rPr>
        <w:t xml:space="preserve">  </w:t>
      </w:r>
      <w:r>
        <w:rPr>
          <w:rFonts w:hint="eastAsia"/>
          <w:sz w:val="24"/>
          <w:szCs w:val="24"/>
        </w:rPr>
        <w:t>（单位名称）的法定代表人</w:t>
      </w:r>
      <w:r>
        <w:rPr>
          <w:rFonts w:hint="eastAsia"/>
          <w:sz w:val="24"/>
          <w:szCs w:val="24"/>
          <w:u w:val="single"/>
        </w:rPr>
        <w:t>（</w:t>
      </w:r>
      <w:r>
        <w:rPr>
          <w:rFonts w:hint="eastAsia"/>
          <w:sz w:val="24"/>
          <w:szCs w:val="24"/>
        </w:rPr>
        <w:t>姓名）授权</w:t>
      </w:r>
      <w:r>
        <w:rPr>
          <w:rFonts w:hint="eastAsia"/>
          <w:sz w:val="24"/>
          <w:szCs w:val="24"/>
          <w:u w:val="single"/>
        </w:rPr>
        <w:t xml:space="preserve">  </w:t>
      </w:r>
      <w:r>
        <w:rPr>
          <w:rFonts w:hint="eastAsia"/>
          <w:sz w:val="24"/>
          <w:szCs w:val="24"/>
        </w:rPr>
        <w:t>（被授权人姓名）为</w:t>
      </w:r>
      <w:r>
        <w:rPr>
          <w:rFonts w:hint="eastAsia"/>
          <w:sz w:val="24"/>
          <w:szCs w:val="24"/>
          <w:u w:val="single"/>
        </w:rPr>
        <w:t>厦门大学嘉庚学院 （采购项目）</w:t>
      </w:r>
      <w:r>
        <w:rPr>
          <w:rFonts w:hint="eastAsia"/>
          <w:sz w:val="24"/>
          <w:szCs w:val="24"/>
        </w:rPr>
        <w:t>的投标代理人，以本公司名义处理一切与之有关的事宜。</w:t>
      </w:r>
    </w:p>
    <w:p>
      <w:pPr>
        <w:pStyle w:val="5"/>
        <w:spacing w:line="360" w:lineRule="auto"/>
        <w:ind w:firstLine="570"/>
        <w:rPr>
          <w:sz w:val="24"/>
          <w:szCs w:val="24"/>
        </w:rPr>
      </w:pPr>
      <w:r>
        <w:rPr>
          <w:rFonts w:hint="eastAsia"/>
          <w:sz w:val="24"/>
          <w:szCs w:val="24"/>
        </w:rPr>
        <w:t>本授权书仅对该项目有效，特此声明。</w:t>
      </w:r>
    </w:p>
    <w:p>
      <w:pPr>
        <w:pStyle w:val="5"/>
        <w:spacing w:line="360" w:lineRule="auto"/>
        <w:ind w:firstLine="570"/>
        <w:rPr>
          <w:sz w:val="24"/>
          <w:szCs w:val="24"/>
          <w:u w:val="single"/>
        </w:rPr>
      </w:pPr>
      <w:r>
        <w:rPr>
          <w:rFonts w:hint="eastAsia"/>
          <w:sz w:val="24"/>
          <w:szCs w:val="24"/>
        </w:rPr>
        <w:t>法定代表人签字：</w:t>
      </w:r>
      <w:r>
        <w:rPr>
          <w:rFonts w:hint="eastAsia"/>
          <w:sz w:val="24"/>
          <w:szCs w:val="24"/>
          <w:u w:val="single"/>
        </w:rPr>
        <w:t>　　　　　　　　　　　　　</w:t>
      </w:r>
    </w:p>
    <w:p>
      <w:pPr>
        <w:pStyle w:val="5"/>
        <w:spacing w:line="360" w:lineRule="auto"/>
        <w:ind w:firstLine="570"/>
        <w:rPr>
          <w:sz w:val="24"/>
          <w:szCs w:val="24"/>
          <w:u w:val="single"/>
        </w:rPr>
      </w:pPr>
      <w:r>
        <w:rPr>
          <w:rFonts w:hint="eastAsia"/>
          <w:sz w:val="24"/>
          <w:szCs w:val="24"/>
        </w:rPr>
        <w:t>被授权人签字：　</w:t>
      </w:r>
      <w:r>
        <w:rPr>
          <w:rFonts w:hint="eastAsia"/>
          <w:sz w:val="24"/>
          <w:szCs w:val="24"/>
          <w:u w:val="single"/>
        </w:rPr>
        <w:t>　　　　　　　　　</w:t>
      </w:r>
      <w:r>
        <w:rPr>
          <w:rFonts w:hint="eastAsia"/>
          <w:sz w:val="24"/>
          <w:szCs w:val="24"/>
        </w:rPr>
        <w:t>　职务：</w:t>
      </w:r>
      <w:r>
        <w:rPr>
          <w:rFonts w:hint="eastAsia"/>
          <w:sz w:val="24"/>
          <w:szCs w:val="24"/>
          <w:u w:val="single"/>
        </w:rPr>
        <w:t>　　　　　</w:t>
      </w:r>
    </w:p>
    <w:p>
      <w:pPr>
        <w:pStyle w:val="5"/>
        <w:spacing w:line="360" w:lineRule="auto"/>
        <w:ind w:firstLine="570"/>
        <w:rPr>
          <w:sz w:val="24"/>
          <w:szCs w:val="24"/>
        </w:rPr>
      </w:pPr>
      <w:r>
        <w:rPr>
          <w:rFonts w:hint="eastAsia"/>
          <w:sz w:val="24"/>
          <w:szCs w:val="24"/>
        </w:rPr>
        <w:t>投标单位详细地址：</w:t>
      </w:r>
      <w:r>
        <w:rPr>
          <w:rFonts w:hint="eastAsia"/>
          <w:sz w:val="24"/>
          <w:szCs w:val="24"/>
          <w:u w:val="single"/>
        </w:rPr>
        <w:t>　　　　　　　　　　　　　　　　　　</w:t>
      </w:r>
    </w:p>
    <w:p>
      <w:pPr>
        <w:pStyle w:val="5"/>
        <w:spacing w:line="360" w:lineRule="auto"/>
        <w:ind w:firstLine="570"/>
        <w:rPr>
          <w:sz w:val="24"/>
          <w:szCs w:val="24"/>
        </w:rPr>
      </w:pPr>
      <w:r>
        <w:rPr>
          <w:rFonts w:hint="eastAsia"/>
          <w:sz w:val="24"/>
          <w:szCs w:val="24"/>
        </w:rPr>
        <w:t>邮政编码：</w:t>
      </w:r>
    </w:p>
    <w:p>
      <w:pPr>
        <w:pStyle w:val="5"/>
        <w:spacing w:line="360" w:lineRule="auto"/>
        <w:ind w:firstLine="570"/>
        <w:rPr>
          <w:sz w:val="24"/>
          <w:szCs w:val="24"/>
        </w:rPr>
      </w:pPr>
      <w:r>
        <w:rPr>
          <w:rFonts w:hint="eastAsia"/>
          <w:sz w:val="24"/>
          <w:szCs w:val="24"/>
        </w:rPr>
        <w:t>E-mail:</w:t>
      </w:r>
    </w:p>
    <w:p>
      <w:pPr>
        <w:pStyle w:val="5"/>
        <w:spacing w:line="360" w:lineRule="auto"/>
        <w:ind w:firstLine="570"/>
        <w:rPr>
          <w:sz w:val="24"/>
          <w:szCs w:val="24"/>
        </w:rPr>
      </w:pPr>
      <w:r>
        <w:rPr>
          <w:rFonts w:hint="eastAsia"/>
          <w:sz w:val="24"/>
          <w:szCs w:val="24"/>
        </w:rPr>
        <w:t>联系电话／传真号码：</w:t>
      </w:r>
    </w:p>
    <w:p>
      <w:pPr>
        <w:pStyle w:val="5"/>
        <w:spacing w:line="360" w:lineRule="auto"/>
        <w:ind w:firstLine="57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ind w:firstLine="570"/>
        <w:rPr>
          <w:sz w:val="24"/>
          <w:szCs w:val="24"/>
        </w:rPr>
      </w:pPr>
      <w:r>
        <w:rPr>
          <w:rFonts w:hint="eastAsia"/>
          <w:sz w:val="24"/>
          <w:szCs w:val="24"/>
        </w:rPr>
        <w:t>　　　　　　　　　　　　　　　　　年　　  月　　　日</w:t>
      </w:r>
    </w:p>
    <w:p>
      <w:pPr>
        <w:widowControl/>
        <w:spacing w:line="360" w:lineRule="auto"/>
        <w:jc w:val="left"/>
        <w:rPr>
          <w:rFonts w:ascii="宋体"/>
          <w:b/>
          <w:sz w:val="24"/>
        </w:rPr>
        <w:sectPr>
          <w:pgSz w:w="11906" w:h="16838"/>
          <w:pgMar w:top="964" w:right="1191" w:bottom="964" w:left="1191" w:header="851" w:footer="992" w:gutter="0"/>
          <w:cols w:space="720" w:num="1"/>
          <w:docGrid w:type="lines" w:linePitch="312" w:charSpace="0"/>
        </w:sectPr>
      </w:pPr>
    </w:p>
    <w:p>
      <w:pPr>
        <w:pStyle w:val="5"/>
        <w:numPr>
          <w:ilvl w:val="1"/>
          <w:numId w:val="4"/>
        </w:numPr>
        <w:spacing w:line="360" w:lineRule="auto"/>
        <w:rPr>
          <w:b/>
          <w:sz w:val="24"/>
          <w:szCs w:val="24"/>
        </w:rPr>
      </w:pPr>
      <w:bookmarkStart w:id="33" w:name="_Toc11206_WPSOffice_Level1"/>
      <w:r>
        <w:rPr>
          <w:rFonts w:hint="eastAsia"/>
          <w:b/>
          <w:sz w:val="24"/>
          <w:szCs w:val="24"/>
        </w:rPr>
        <w:t>售后服务承诺</w:t>
      </w:r>
      <w:bookmarkEnd w:id="33"/>
    </w:p>
    <w:p>
      <w:pPr>
        <w:pStyle w:val="5"/>
        <w:spacing w:line="360" w:lineRule="auto"/>
        <w:ind w:firstLine="570"/>
        <w:jc w:val="center"/>
        <w:rPr>
          <w:b/>
          <w:bCs/>
          <w:sz w:val="24"/>
          <w:szCs w:val="24"/>
        </w:rPr>
      </w:pPr>
    </w:p>
    <w:p>
      <w:pPr>
        <w:pStyle w:val="5"/>
        <w:spacing w:line="360" w:lineRule="auto"/>
        <w:ind w:firstLine="0"/>
        <w:rPr>
          <w:sz w:val="24"/>
          <w:szCs w:val="24"/>
        </w:rPr>
      </w:pPr>
      <w:r>
        <w:rPr>
          <w:rFonts w:hint="eastAsia"/>
          <w:sz w:val="24"/>
          <w:szCs w:val="24"/>
        </w:rPr>
        <w:t>致：厦门大学嘉庚学院</w:t>
      </w:r>
    </w:p>
    <w:p>
      <w:pPr>
        <w:pStyle w:val="5"/>
        <w:spacing w:line="360" w:lineRule="auto"/>
        <w:ind w:firstLine="570"/>
        <w:rPr>
          <w:sz w:val="24"/>
          <w:szCs w:val="24"/>
        </w:rPr>
      </w:pPr>
      <w:r>
        <w:rPr>
          <w:rFonts w:hint="eastAsia"/>
          <w:sz w:val="24"/>
          <w:szCs w:val="24"/>
        </w:rPr>
        <w:t>　根据贵方为</w:t>
      </w:r>
      <w:r>
        <w:rPr>
          <w:rFonts w:hint="eastAsia"/>
          <w:sz w:val="24"/>
          <w:szCs w:val="24"/>
          <w:u w:val="single"/>
        </w:rPr>
        <w:t>　　　　　　　　　　</w:t>
      </w:r>
      <w:r>
        <w:rPr>
          <w:rFonts w:hint="eastAsia"/>
          <w:sz w:val="24"/>
          <w:szCs w:val="24"/>
        </w:rPr>
        <w:t>采购项目的投标邀请，我司对该项目做出如下售   后服务承诺：</w:t>
      </w:r>
    </w:p>
    <w:p>
      <w:pPr>
        <w:pStyle w:val="5"/>
        <w:spacing w:line="360" w:lineRule="auto"/>
        <w:ind w:firstLine="570"/>
        <w:rPr>
          <w:sz w:val="24"/>
          <w:szCs w:val="24"/>
        </w:rPr>
      </w:pPr>
      <w:r>
        <w:rPr>
          <w:rFonts w:hint="eastAsia"/>
          <w:sz w:val="24"/>
          <w:szCs w:val="24"/>
        </w:rPr>
        <w:t>（内容根据招标文件要求，由投标单位自拟，须清楚注明保修期内外的售后服务承诺）</w:t>
      </w:r>
    </w:p>
    <w:p>
      <w:pPr>
        <w:pStyle w:val="5"/>
        <w:spacing w:line="360" w:lineRule="auto"/>
        <w:ind w:firstLine="0"/>
        <w:rPr>
          <w:sz w:val="24"/>
          <w:szCs w:val="24"/>
        </w:rPr>
      </w:pPr>
    </w:p>
    <w:p>
      <w:pPr>
        <w:pStyle w:val="5"/>
        <w:spacing w:line="360" w:lineRule="auto"/>
        <w:ind w:firstLine="570"/>
        <w:rPr>
          <w:sz w:val="24"/>
          <w:szCs w:val="24"/>
        </w:rPr>
      </w:pPr>
      <w:r>
        <w:rPr>
          <w:rFonts w:hint="eastAsia"/>
          <w:sz w:val="24"/>
          <w:szCs w:val="24"/>
        </w:rPr>
        <w:t>　　　　　　　　　　　　　投标人全称（加盖公章）：</w:t>
      </w:r>
    </w:p>
    <w:p>
      <w:pPr>
        <w:pStyle w:val="5"/>
        <w:spacing w:line="360" w:lineRule="auto"/>
      </w:pPr>
      <w:r>
        <w:rPr>
          <w:rFonts w:hint="eastAsia"/>
        </w:rPr>
        <w:t>　　　</w:t>
      </w:r>
    </w:p>
    <w:p>
      <w:pPr>
        <w:pStyle w:val="5"/>
        <w:spacing w:line="360" w:lineRule="auto"/>
        <w:ind w:left="3324" w:firstLine="0"/>
        <w:rPr>
          <w:b/>
          <w:sz w:val="24"/>
          <w:szCs w:val="24"/>
        </w:rPr>
      </w:pPr>
      <w:r>
        <w:rPr>
          <w:rFonts w:hint="eastAsia"/>
        </w:rPr>
        <w:br w:type="page"/>
      </w:r>
      <w:r>
        <w:rPr>
          <w:rFonts w:hint="eastAsia"/>
          <w:b/>
          <w:sz w:val="24"/>
          <w:szCs w:val="24"/>
        </w:rPr>
        <w:t>中标后出具的授权书（参考格式）</w:t>
      </w:r>
    </w:p>
    <w:p>
      <w:pPr>
        <w:pStyle w:val="5"/>
        <w:spacing w:line="360" w:lineRule="auto"/>
        <w:ind w:firstLine="0"/>
        <w:rPr>
          <w:sz w:val="24"/>
          <w:szCs w:val="24"/>
          <w:u w:val="single"/>
        </w:rPr>
      </w:pPr>
      <w:r>
        <w:rPr>
          <w:rFonts w:hint="eastAsia"/>
          <w:sz w:val="24"/>
          <w:szCs w:val="24"/>
          <w:u w:val="single"/>
        </w:rPr>
        <w:t>厦门大学嘉庚学院：</w:t>
      </w:r>
    </w:p>
    <w:p>
      <w:pPr>
        <w:pStyle w:val="5"/>
        <w:spacing w:line="360" w:lineRule="auto"/>
        <w:ind w:firstLine="480" w:firstLineChars="200"/>
        <w:rPr>
          <w:sz w:val="24"/>
          <w:szCs w:val="24"/>
          <w:u w:val="single"/>
        </w:rPr>
      </w:pPr>
      <w:r>
        <w:rPr>
          <w:rFonts w:hint="eastAsia"/>
          <w:sz w:val="24"/>
          <w:szCs w:val="24"/>
        </w:rPr>
        <w:t>我方</w:t>
      </w:r>
      <w:r>
        <w:rPr>
          <w:rFonts w:hint="eastAsia"/>
          <w:sz w:val="24"/>
          <w:szCs w:val="24"/>
          <w:u w:val="single"/>
        </w:rPr>
        <w:t xml:space="preserve"> </w:t>
      </w:r>
      <w:r>
        <w:rPr>
          <w:rFonts w:hint="eastAsia"/>
          <w:sz w:val="24"/>
          <w:szCs w:val="24"/>
        </w:rPr>
        <w:t>（制造商名称）是按</w:t>
      </w:r>
      <w:r>
        <w:rPr>
          <w:rFonts w:hint="eastAsia"/>
          <w:sz w:val="24"/>
          <w:szCs w:val="24"/>
          <w:u w:val="single"/>
        </w:rPr>
        <w:t xml:space="preserve">  </w:t>
      </w:r>
    </w:p>
    <w:p>
      <w:pPr>
        <w:pStyle w:val="5"/>
        <w:spacing w:line="360" w:lineRule="auto"/>
        <w:ind w:firstLine="990"/>
        <w:rPr>
          <w:sz w:val="24"/>
          <w:szCs w:val="24"/>
          <w:u w:val="single"/>
        </w:rPr>
      </w:pPr>
      <w:r>
        <w:rPr>
          <w:rFonts w:hint="eastAsia"/>
          <w:sz w:val="24"/>
          <w:szCs w:val="24"/>
        </w:rPr>
        <w:t>（国家名称）法律成立的一家制造商，主要营业地点设在</w:t>
      </w:r>
      <w:r>
        <w:rPr>
          <w:rFonts w:hint="eastAsia"/>
          <w:sz w:val="24"/>
          <w:szCs w:val="24"/>
          <w:u w:val="single"/>
        </w:rPr>
        <w:t xml:space="preserve"> </w:t>
      </w:r>
    </w:p>
    <w:p>
      <w:pPr>
        <w:pStyle w:val="5"/>
        <w:spacing w:line="360" w:lineRule="auto"/>
        <w:ind w:firstLine="0"/>
        <w:rPr>
          <w:sz w:val="24"/>
          <w:szCs w:val="24"/>
          <w:u w:val="single"/>
        </w:rPr>
      </w:pPr>
      <w:r>
        <w:rPr>
          <w:rFonts w:hint="eastAsia"/>
          <w:sz w:val="24"/>
          <w:szCs w:val="24"/>
          <w:u w:val="single"/>
        </w:rPr>
        <w:t xml:space="preserve">  </w:t>
      </w:r>
      <w:r>
        <w:rPr>
          <w:rFonts w:hint="eastAsia"/>
          <w:sz w:val="24"/>
          <w:szCs w:val="24"/>
        </w:rPr>
        <w:t>（制造商地址）。兹指派按</w:t>
      </w:r>
      <w:r>
        <w:rPr>
          <w:rFonts w:hint="eastAsia"/>
          <w:sz w:val="24"/>
          <w:szCs w:val="24"/>
          <w:u w:val="single"/>
        </w:rPr>
        <w:t xml:space="preserve"> </w:t>
      </w:r>
      <w:r>
        <w:rPr>
          <w:rFonts w:hint="eastAsia"/>
          <w:sz w:val="24"/>
          <w:szCs w:val="24"/>
        </w:rPr>
        <w:t>（国家）的法律正式成立的，主要营业地点设在</w:t>
      </w:r>
      <w:r>
        <w:rPr>
          <w:rFonts w:hint="eastAsia"/>
          <w:sz w:val="24"/>
          <w:szCs w:val="24"/>
          <w:u w:val="single"/>
        </w:rPr>
        <w:t xml:space="preserve">   </w:t>
      </w:r>
    </w:p>
    <w:p>
      <w:pPr>
        <w:pStyle w:val="5"/>
        <w:spacing w:line="360" w:lineRule="auto"/>
        <w:ind w:left="1" w:firstLine="0"/>
        <w:rPr>
          <w:sz w:val="24"/>
          <w:szCs w:val="24"/>
        </w:rPr>
      </w:pPr>
      <w:r>
        <w:rPr>
          <w:rFonts w:hint="eastAsia"/>
          <w:sz w:val="24"/>
          <w:szCs w:val="24"/>
          <w:u w:val="single"/>
        </w:rPr>
        <w:t xml:space="preserve"> （</w:t>
      </w:r>
      <w:r>
        <w:rPr>
          <w:rFonts w:hint="eastAsia"/>
          <w:sz w:val="24"/>
          <w:szCs w:val="24"/>
        </w:rPr>
        <w:t>投标人地址）的</w:t>
      </w:r>
      <w:r>
        <w:rPr>
          <w:rFonts w:hint="eastAsia"/>
          <w:sz w:val="24"/>
          <w:szCs w:val="24"/>
          <w:u w:val="single"/>
        </w:rPr>
        <w:t xml:space="preserve">  （</w:t>
      </w:r>
      <w:r>
        <w:rPr>
          <w:rFonts w:hint="eastAsia"/>
          <w:sz w:val="24"/>
          <w:szCs w:val="24"/>
        </w:rPr>
        <w:t>投标人名称）作为我方真正的和合法的代理人进行下列有效有活动：</w:t>
      </w:r>
    </w:p>
    <w:p>
      <w:pPr>
        <w:pStyle w:val="5"/>
        <w:spacing w:line="360" w:lineRule="auto"/>
        <w:ind w:firstLine="0"/>
        <w:rPr>
          <w:sz w:val="24"/>
          <w:szCs w:val="24"/>
        </w:rPr>
      </w:pPr>
      <w:r>
        <w:rPr>
          <w:rFonts w:hint="eastAsia"/>
          <w:sz w:val="24"/>
          <w:szCs w:val="24"/>
        </w:rPr>
        <w:t>（1）代表我方在中华人民共和国办理贵方</w:t>
      </w:r>
      <w:r>
        <w:rPr>
          <w:rFonts w:hint="eastAsia"/>
          <w:sz w:val="24"/>
          <w:szCs w:val="24"/>
          <w:u w:val="single"/>
        </w:rPr>
        <w:t xml:space="preserve">   </w:t>
      </w:r>
      <w:r>
        <w:rPr>
          <w:rFonts w:hint="eastAsia"/>
          <w:sz w:val="24"/>
          <w:szCs w:val="24"/>
        </w:rPr>
        <w:t>（招标编号）中标的关于（招标项目名称）要求提供的由我方制造的</w:t>
      </w:r>
      <w:r>
        <w:rPr>
          <w:rFonts w:hint="eastAsia"/>
          <w:sz w:val="24"/>
          <w:szCs w:val="24"/>
          <w:u w:val="single"/>
        </w:rPr>
        <w:t xml:space="preserve">   </w:t>
      </w:r>
      <w:r>
        <w:rPr>
          <w:rFonts w:hint="eastAsia"/>
          <w:sz w:val="24"/>
          <w:szCs w:val="24"/>
        </w:rPr>
        <w:t>（货物名称）的有关事宜，并对我方具有约束力。</w:t>
      </w:r>
    </w:p>
    <w:p>
      <w:pPr>
        <w:pStyle w:val="5"/>
        <w:spacing w:line="360" w:lineRule="auto"/>
        <w:ind w:firstLine="0"/>
        <w:rPr>
          <w:sz w:val="24"/>
          <w:szCs w:val="24"/>
        </w:rPr>
      </w:pPr>
      <w:r>
        <w:rPr>
          <w:rFonts w:hint="eastAsia"/>
          <w:sz w:val="24"/>
          <w:szCs w:val="24"/>
        </w:rPr>
        <w:t>（2）作为制造商，我方保证以投标合作者来约束自己，并对该投标共同和分别承担招标文件中所规定的义务。</w:t>
      </w:r>
    </w:p>
    <w:p>
      <w:pPr>
        <w:pStyle w:val="5"/>
        <w:spacing w:line="360" w:lineRule="auto"/>
        <w:ind w:firstLine="0"/>
        <w:rPr>
          <w:sz w:val="24"/>
          <w:szCs w:val="24"/>
        </w:rPr>
      </w:pPr>
      <w:r>
        <w:rPr>
          <w:rFonts w:hint="eastAsia"/>
          <w:sz w:val="24"/>
          <w:szCs w:val="24"/>
        </w:rPr>
        <w:t>（3）我方兹授予</w:t>
      </w:r>
      <w:r>
        <w:rPr>
          <w:rFonts w:hint="eastAsia"/>
          <w:sz w:val="24"/>
          <w:szCs w:val="24"/>
          <w:u w:val="single"/>
        </w:rPr>
        <w:t xml:space="preserve"> </w:t>
      </w:r>
      <w:r>
        <w:rPr>
          <w:rFonts w:hint="eastAsia"/>
          <w:sz w:val="24"/>
          <w:szCs w:val="24"/>
        </w:rPr>
        <w:t>（中标人）全权办理和履行上述我方为完成上述各点所必须的事宜，具有替换或撤消的全权。兹确认（中标人）或其正式授权代表依此合法地办理一切事宜。</w:t>
      </w:r>
    </w:p>
    <w:p>
      <w:pPr>
        <w:pStyle w:val="5"/>
        <w:spacing w:line="360" w:lineRule="auto"/>
        <w:ind w:firstLine="570"/>
        <w:rPr>
          <w:sz w:val="24"/>
          <w:szCs w:val="24"/>
        </w:rPr>
      </w:pPr>
      <w:r>
        <w:rPr>
          <w:rFonts w:hint="eastAsia"/>
          <w:sz w:val="24"/>
          <w:szCs w:val="24"/>
        </w:rPr>
        <w:t>我方于</w:t>
      </w:r>
      <w:r>
        <w:rPr>
          <w:rFonts w:hint="eastAsia"/>
          <w:b/>
          <w:bCs/>
          <w:sz w:val="24"/>
          <w:szCs w:val="24"/>
          <w:u w:val="single"/>
        </w:rPr>
        <w:t xml:space="preserve"> </w:t>
      </w:r>
      <w:r>
        <w:rPr>
          <w:rFonts w:hint="eastAsia"/>
          <w:sz w:val="24"/>
          <w:szCs w:val="24"/>
        </w:rPr>
        <w:t>年月日签署本文件，</w:t>
      </w:r>
      <w:r>
        <w:rPr>
          <w:rFonts w:hint="eastAsia"/>
          <w:sz w:val="24"/>
          <w:szCs w:val="24"/>
          <w:u w:val="single"/>
        </w:rPr>
        <w:t xml:space="preserve"> </w:t>
      </w:r>
      <w:r>
        <w:rPr>
          <w:rFonts w:hint="eastAsia"/>
          <w:sz w:val="24"/>
          <w:szCs w:val="24"/>
        </w:rPr>
        <w:t>（贸易公司名称）于</w:t>
      </w:r>
      <w:r>
        <w:rPr>
          <w:rFonts w:hint="eastAsia"/>
          <w:b/>
          <w:bCs/>
          <w:sz w:val="24"/>
          <w:szCs w:val="24"/>
          <w:u w:val="single"/>
        </w:rPr>
        <w:t xml:space="preserve"> </w:t>
      </w:r>
      <w:r>
        <w:rPr>
          <w:rFonts w:hint="eastAsia"/>
          <w:sz w:val="24"/>
          <w:szCs w:val="24"/>
        </w:rPr>
        <w:t>年月日接受此件，以此为证。</w:t>
      </w:r>
    </w:p>
    <w:p>
      <w:pPr>
        <w:pStyle w:val="5"/>
        <w:spacing w:line="360" w:lineRule="auto"/>
        <w:ind w:firstLine="570"/>
        <w:rPr>
          <w:sz w:val="24"/>
          <w:szCs w:val="24"/>
          <w:u w:val="single"/>
        </w:rPr>
      </w:pPr>
      <w:r>
        <w:rPr>
          <w:rFonts w:hint="eastAsia"/>
          <w:sz w:val="24"/>
          <w:szCs w:val="24"/>
        </w:rPr>
        <w:t>中标人名称：</w:t>
      </w:r>
      <w:r>
        <w:rPr>
          <w:rFonts w:hint="eastAsia"/>
          <w:sz w:val="24"/>
          <w:szCs w:val="24"/>
          <w:u w:val="single"/>
        </w:rPr>
        <w:t xml:space="preserve">   </w:t>
      </w:r>
    </w:p>
    <w:p>
      <w:pPr>
        <w:pStyle w:val="5"/>
        <w:spacing w:line="360" w:lineRule="auto"/>
        <w:ind w:firstLine="570"/>
        <w:rPr>
          <w:sz w:val="24"/>
          <w:szCs w:val="24"/>
          <w:u w:val="single"/>
        </w:rPr>
      </w:pPr>
      <w:r>
        <w:rPr>
          <w:rFonts w:hint="eastAsia"/>
          <w:sz w:val="24"/>
          <w:szCs w:val="24"/>
        </w:rPr>
        <w:t>出具授权书的制造商名称（加盖公章）：</w:t>
      </w:r>
      <w:r>
        <w:rPr>
          <w:rFonts w:hint="eastAsia"/>
          <w:sz w:val="24"/>
          <w:szCs w:val="24"/>
          <w:u w:val="single"/>
        </w:rPr>
        <w:t xml:space="preserve"> </w:t>
      </w:r>
    </w:p>
    <w:p>
      <w:pPr>
        <w:pStyle w:val="5"/>
        <w:spacing w:line="360" w:lineRule="auto"/>
        <w:ind w:firstLine="570"/>
        <w:rPr>
          <w:b/>
          <w:bCs/>
          <w:sz w:val="24"/>
          <w:szCs w:val="24"/>
        </w:rPr>
      </w:pPr>
      <w:r>
        <w:rPr>
          <w:rFonts w:hint="eastAsia"/>
          <w:sz w:val="24"/>
          <w:szCs w:val="24"/>
        </w:rPr>
        <w:t>正式授权签字代表  姓名、职务和部门：</w:t>
      </w:r>
    </w:p>
    <w:p>
      <w:pPr>
        <w:pStyle w:val="5"/>
        <w:spacing w:line="360" w:lineRule="auto"/>
        <w:ind w:firstLine="6615" w:firstLineChars="3150"/>
        <w:rPr>
          <w:sz w:val="24"/>
          <w:szCs w:val="24"/>
        </w:rPr>
      </w:pPr>
      <w:bookmarkStart w:id="34" w:name="_Toc16191_WPSOffice_Level1"/>
      <w:r>
        <w:rPr>
          <w:rFonts w:hint="eastAsia"/>
        </w:rPr>
        <w:t>年　　月　　日</w:t>
      </w:r>
      <w:bookmarkEnd w:id="34"/>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7"/>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CjdPRQgCAAACBAAADgAAAAAAAAABACAAAAAfAQAAZHJz&#10;L2Uyb0RvYy54bWxQSwUGAAAAAAYABgBZAQAAm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637EA"/>
    <w:multiLevelType w:val="multilevel"/>
    <w:tmpl w:val="366637EA"/>
    <w:lvl w:ilvl="0" w:tentative="0">
      <w:start w:val="1"/>
      <w:numFmt w:val="chineseCountingThousand"/>
      <w:lvlText w:val="第%1章 "/>
      <w:lvlJc w:val="left"/>
      <w:pPr>
        <w:tabs>
          <w:tab w:val="left" w:pos="420"/>
        </w:tabs>
        <w:ind w:left="420" w:hanging="420"/>
      </w:pPr>
      <w:rPr>
        <w:rFonts w:cs="Times New Roman"/>
      </w:rPr>
    </w:lvl>
    <w:lvl w:ilvl="1" w:tentative="0">
      <w:start w:val="1"/>
      <w:numFmt w:val="chineseCountingThousand"/>
      <w:lvlText w:val="%2、"/>
      <w:lvlJc w:val="left"/>
      <w:pPr>
        <w:tabs>
          <w:tab w:val="left" w:pos="840"/>
        </w:tabs>
        <w:ind w:left="840" w:hanging="420"/>
      </w:pPr>
      <w:rPr>
        <w:rFonts w:cs="Times New Roman"/>
      </w:rPr>
    </w:lvl>
    <w:lvl w:ilvl="2" w:tentative="0">
      <w:start w:val="1"/>
      <w:numFmt w:val="japaneseCounting"/>
      <w:lvlText w:val="%3、"/>
      <w:lvlJc w:val="left"/>
      <w:pPr>
        <w:tabs>
          <w:tab w:val="left" w:pos="1755"/>
        </w:tabs>
        <w:ind w:left="1755" w:hanging="915"/>
      </w:pPr>
      <w:rPr>
        <w:rFonts w:hint="default" w:ascii="Times New Roman" w:hAnsi="Times New Roman"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8AE33B7"/>
    <w:multiLevelType w:val="multilevel"/>
    <w:tmpl w:val="38AE33B7"/>
    <w:lvl w:ilvl="0" w:tentative="0">
      <w:start w:val="1"/>
      <w:numFmt w:val="chineseCountingThousand"/>
      <w:lvlText w:val="第%1节"/>
      <w:lvlJc w:val="left"/>
      <w:pPr>
        <w:tabs>
          <w:tab w:val="left" w:pos="420"/>
        </w:tabs>
        <w:ind w:left="420" w:hanging="420"/>
      </w:pPr>
      <w:rPr>
        <w:rFonts w:cs="Times New Roman"/>
      </w:rPr>
    </w:lvl>
    <w:lvl w:ilvl="1" w:tentative="0">
      <w:start w:val="1"/>
      <w:numFmt w:val="decimal"/>
      <w:lvlText w:val="格式%2    "/>
      <w:lvlJc w:val="left"/>
      <w:pPr>
        <w:tabs>
          <w:tab w:val="left" w:pos="3324"/>
        </w:tabs>
        <w:ind w:left="3324" w:hanging="630"/>
      </w:pPr>
      <w:rPr>
        <w:rFonts w:cs="Times New Roman"/>
        <w:strike w:val="0"/>
        <w:dstrike w:val="0"/>
        <w:u w:val="none"/>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B07E4E"/>
    <w:multiLevelType w:val="multilevel"/>
    <w:tmpl w:val="3FB07E4E"/>
    <w:lvl w:ilvl="0" w:tentative="0">
      <w:start w:val="1"/>
      <w:numFmt w:val="decimal"/>
      <w:lvlText w:val="%1."/>
      <w:lvlJc w:val="left"/>
      <w:pPr>
        <w:tabs>
          <w:tab w:val="left" w:pos="454"/>
        </w:tabs>
        <w:ind w:left="0" w:firstLine="0"/>
      </w:pPr>
      <w:rPr>
        <w:rFonts w:cs="Times New Roman"/>
      </w:rPr>
    </w:lvl>
    <w:lvl w:ilvl="1" w:tentative="0">
      <w:start w:val="1"/>
      <w:numFmt w:val="decimal"/>
      <w:lvlText w:val="%1.%2."/>
      <w:lvlJc w:val="left"/>
      <w:pPr>
        <w:tabs>
          <w:tab w:val="left" w:pos="454"/>
        </w:tabs>
        <w:ind w:left="0" w:firstLine="0"/>
      </w:pPr>
      <w:rPr>
        <w:rFonts w:cs="Times New Roman"/>
        <w:b w:val="0"/>
      </w:rPr>
    </w:lvl>
    <w:lvl w:ilvl="2" w:tentative="0">
      <w:start w:val="1"/>
      <w:numFmt w:val="decimal"/>
      <w:lvlText w:val="%1.%2.%3."/>
      <w:lvlJc w:val="left"/>
      <w:pPr>
        <w:tabs>
          <w:tab w:val="left" w:pos="454"/>
        </w:tabs>
        <w:ind w:left="0" w:firstLine="0"/>
      </w:pPr>
      <w:rPr>
        <w:rFonts w:cs="Times New Roman"/>
      </w:rPr>
    </w:lvl>
    <w:lvl w:ilvl="3" w:tentative="0">
      <w:start w:val="1"/>
      <w:numFmt w:val="decimal"/>
      <w:lvlText w:val="%1.%2.%3.%4."/>
      <w:lvlJc w:val="left"/>
      <w:pPr>
        <w:tabs>
          <w:tab w:val="left" w:pos="454"/>
        </w:tabs>
        <w:ind w:left="0" w:firstLine="0"/>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3">
    <w:nsid w:val="6AD0021A"/>
    <w:multiLevelType w:val="multilevel"/>
    <w:tmpl w:val="6AD0021A"/>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ZjhlMjlkNmQ1NTM0Y2FkODUzNDJjOTQ1YTk2MDcifQ=="/>
  </w:docVars>
  <w:rsids>
    <w:rsidRoot w:val="00063100"/>
    <w:rsid w:val="00007295"/>
    <w:rsid w:val="00024FDE"/>
    <w:rsid w:val="00027308"/>
    <w:rsid w:val="000558CA"/>
    <w:rsid w:val="00056D2B"/>
    <w:rsid w:val="00063100"/>
    <w:rsid w:val="0006316D"/>
    <w:rsid w:val="00065669"/>
    <w:rsid w:val="00065A8B"/>
    <w:rsid w:val="00076A11"/>
    <w:rsid w:val="0007708C"/>
    <w:rsid w:val="00081D6F"/>
    <w:rsid w:val="0009638E"/>
    <w:rsid w:val="000A5846"/>
    <w:rsid w:val="000B60CD"/>
    <w:rsid w:val="000C015C"/>
    <w:rsid w:val="000D696D"/>
    <w:rsid w:val="000E653A"/>
    <w:rsid w:val="000F1DD8"/>
    <w:rsid w:val="000F4621"/>
    <w:rsid w:val="001274D9"/>
    <w:rsid w:val="00127887"/>
    <w:rsid w:val="001328D8"/>
    <w:rsid w:val="00137CE0"/>
    <w:rsid w:val="001505A7"/>
    <w:rsid w:val="0015594A"/>
    <w:rsid w:val="00156284"/>
    <w:rsid w:val="00157B4A"/>
    <w:rsid w:val="00167D00"/>
    <w:rsid w:val="001800C8"/>
    <w:rsid w:val="00181684"/>
    <w:rsid w:val="001C2711"/>
    <w:rsid w:val="001D59D0"/>
    <w:rsid w:val="001D7DD5"/>
    <w:rsid w:val="001E33A3"/>
    <w:rsid w:val="001E408D"/>
    <w:rsid w:val="001F66BE"/>
    <w:rsid w:val="00207A7B"/>
    <w:rsid w:val="00217B6F"/>
    <w:rsid w:val="00217F53"/>
    <w:rsid w:val="00236447"/>
    <w:rsid w:val="00240535"/>
    <w:rsid w:val="00241AFF"/>
    <w:rsid w:val="00245024"/>
    <w:rsid w:val="0024688A"/>
    <w:rsid w:val="00250C7E"/>
    <w:rsid w:val="00253C0F"/>
    <w:rsid w:val="00261807"/>
    <w:rsid w:val="00261C6D"/>
    <w:rsid w:val="0026209B"/>
    <w:rsid w:val="00267243"/>
    <w:rsid w:val="002829A8"/>
    <w:rsid w:val="00287BCE"/>
    <w:rsid w:val="002B2766"/>
    <w:rsid w:val="002B48F6"/>
    <w:rsid w:val="002B5DAD"/>
    <w:rsid w:val="002B630C"/>
    <w:rsid w:val="002C3391"/>
    <w:rsid w:val="002D3243"/>
    <w:rsid w:val="002D489A"/>
    <w:rsid w:val="002D7CB4"/>
    <w:rsid w:val="002E38C2"/>
    <w:rsid w:val="002E3FA7"/>
    <w:rsid w:val="002F36C0"/>
    <w:rsid w:val="00303071"/>
    <w:rsid w:val="00311C25"/>
    <w:rsid w:val="00312D10"/>
    <w:rsid w:val="00330F54"/>
    <w:rsid w:val="00336E01"/>
    <w:rsid w:val="00340F65"/>
    <w:rsid w:val="0034782E"/>
    <w:rsid w:val="0035424E"/>
    <w:rsid w:val="00354671"/>
    <w:rsid w:val="0035513B"/>
    <w:rsid w:val="00356621"/>
    <w:rsid w:val="00356AB2"/>
    <w:rsid w:val="00364FA6"/>
    <w:rsid w:val="00365DE0"/>
    <w:rsid w:val="00366FEF"/>
    <w:rsid w:val="00380A38"/>
    <w:rsid w:val="00390B48"/>
    <w:rsid w:val="0039476C"/>
    <w:rsid w:val="003970F3"/>
    <w:rsid w:val="003974C7"/>
    <w:rsid w:val="003B5C72"/>
    <w:rsid w:val="003D12E9"/>
    <w:rsid w:val="003D325E"/>
    <w:rsid w:val="003D39E1"/>
    <w:rsid w:val="003E5314"/>
    <w:rsid w:val="003F0814"/>
    <w:rsid w:val="003F14C9"/>
    <w:rsid w:val="003F4C6B"/>
    <w:rsid w:val="003F74AD"/>
    <w:rsid w:val="004028DD"/>
    <w:rsid w:val="00404960"/>
    <w:rsid w:val="00411663"/>
    <w:rsid w:val="00414BE7"/>
    <w:rsid w:val="00421081"/>
    <w:rsid w:val="004215DA"/>
    <w:rsid w:val="00430DD6"/>
    <w:rsid w:val="004322BA"/>
    <w:rsid w:val="00434E9E"/>
    <w:rsid w:val="00452879"/>
    <w:rsid w:val="00467472"/>
    <w:rsid w:val="004701B8"/>
    <w:rsid w:val="004708B6"/>
    <w:rsid w:val="00486677"/>
    <w:rsid w:val="004877C3"/>
    <w:rsid w:val="0049023A"/>
    <w:rsid w:val="0049273C"/>
    <w:rsid w:val="004959FA"/>
    <w:rsid w:val="004A7920"/>
    <w:rsid w:val="004C2D81"/>
    <w:rsid w:val="004C3BF2"/>
    <w:rsid w:val="004D0FCF"/>
    <w:rsid w:val="004D36D3"/>
    <w:rsid w:val="004D3AE5"/>
    <w:rsid w:val="004D6731"/>
    <w:rsid w:val="004E4230"/>
    <w:rsid w:val="004F37FC"/>
    <w:rsid w:val="005078E0"/>
    <w:rsid w:val="00525B0E"/>
    <w:rsid w:val="00561459"/>
    <w:rsid w:val="00567FEC"/>
    <w:rsid w:val="00571328"/>
    <w:rsid w:val="005714B1"/>
    <w:rsid w:val="00580619"/>
    <w:rsid w:val="00580A05"/>
    <w:rsid w:val="00580A82"/>
    <w:rsid w:val="0058376A"/>
    <w:rsid w:val="005B02BA"/>
    <w:rsid w:val="005B195E"/>
    <w:rsid w:val="005C4059"/>
    <w:rsid w:val="005E315D"/>
    <w:rsid w:val="005E7E34"/>
    <w:rsid w:val="0060315E"/>
    <w:rsid w:val="00603941"/>
    <w:rsid w:val="006158FD"/>
    <w:rsid w:val="0064182C"/>
    <w:rsid w:val="00651FA8"/>
    <w:rsid w:val="00656282"/>
    <w:rsid w:val="00663026"/>
    <w:rsid w:val="00670E72"/>
    <w:rsid w:val="00695F78"/>
    <w:rsid w:val="006C39C9"/>
    <w:rsid w:val="006C3C7A"/>
    <w:rsid w:val="006D3DEF"/>
    <w:rsid w:val="006D6259"/>
    <w:rsid w:val="006E5A1F"/>
    <w:rsid w:val="006F0807"/>
    <w:rsid w:val="006F3DDC"/>
    <w:rsid w:val="006F687D"/>
    <w:rsid w:val="006F72DA"/>
    <w:rsid w:val="00705F4D"/>
    <w:rsid w:val="00715C72"/>
    <w:rsid w:val="0072424F"/>
    <w:rsid w:val="007253A1"/>
    <w:rsid w:val="007424A9"/>
    <w:rsid w:val="00745512"/>
    <w:rsid w:val="007464E8"/>
    <w:rsid w:val="0074691D"/>
    <w:rsid w:val="00752D87"/>
    <w:rsid w:val="00763E77"/>
    <w:rsid w:val="007641E4"/>
    <w:rsid w:val="007849CF"/>
    <w:rsid w:val="00787117"/>
    <w:rsid w:val="00793476"/>
    <w:rsid w:val="007B39C5"/>
    <w:rsid w:val="007B437B"/>
    <w:rsid w:val="007C7C7E"/>
    <w:rsid w:val="007D5D90"/>
    <w:rsid w:val="007E58F4"/>
    <w:rsid w:val="007F1D9C"/>
    <w:rsid w:val="007F58AB"/>
    <w:rsid w:val="007F6FF8"/>
    <w:rsid w:val="007F72C5"/>
    <w:rsid w:val="00811BFF"/>
    <w:rsid w:val="00814972"/>
    <w:rsid w:val="00824756"/>
    <w:rsid w:val="008270DD"/>
    <w:rsid w:val="008503E3"/>
    <w:rsid w:val="0085076E"/>
    <w:rsid w:val="008550B3"/>
    <w:rsid w:val="0087058C"/>
    <w:rsid w:val="00870981"/>
    <w:rsid w:val="00876745"/>
    <w:rsid w:val="00877AEB"/>
    <w:rsid w:val="00884F88"/>
    <w:rsid w:val="00890A8D"/>
    <w:rsid w:val="00895C40"/>
    <w:rsid w:val="00896944"/>
    <w:rsid w:val="008A3748"/>
    <w:rsid w:val="008A47F6"/>
    <w:rsid w:val="008C039E"/>
    <w:rsid w:val="008D13B7"/>
    <w:rsid w:val="008D1742"/>
    <w:rsid w:val="008D5E05"/>
    <w:rsid w:val="008D743B"/>
    <w:rsid w:val="008E6E4F"/>
    <w:rsid w:val="008F685B"/>
    <w:rsid w:val="00900DD5"/>
    <w:rsid w:val="00936A58"/>
    <w:rsid w:val="00936DD9"/>
    <w:rsid w:val="00936E45"/>
    <w:rsid w:val="0094151C"/>
    <w:rsid w:val="00942BB0"/>
    <w:rsid w:val="00946291"/>
    <w:rsid w:val="0095201F"/>
    <w:rsid w:val="0096389A"/>
    <w:rsid w:val="00974E18"/>
    <w:rsid w:val="00980843"/>
    <w:rsid w:val="009872BA"/>
    <w:rsid w:val="009A314B"/>
    <w:rsid w:val="009A4D25"/>
    <w:rsid w:val="009A521C"/>
    <w:rsid w:val="009D5F63"/>
    <w:rsid w:val="009E43E4"/>
    <w:rsid w:val="009E53C6"/>
    <w:rsid w:val="00A0199C"/>
    <w:rsid w:val="00A02EAF"/>
    <w:rsid w:val="00A057CC"/>
    <w:rsid w:val="00A117D2"/>
    <w:rsid w:val="00A22C55"/>
    <w:rsid w:val="00A22F14"/>
    <w:rsid w:val="00A26745"/>
    <w:rsid w:val="00A41661"/>
    <w:rsid w:val="00A45B8C"/>
    <w:rsid w:val="00A45CCB"/>
    <w:rsid w:val="00A4670C"/>
    <w:rsid w:val="00A82C71"/>
    <w:rsid w:val="00A83854"/>
    <w:rsid w:val="00A919E6"/>
    <w:rsid w:val="00A91E3E"/>
    <w:rsid w:val="00A9254A"/>
    <w:rsid w:val="00A93089"/>
    <w:rsid w:val="00A949CB"/>
    <w:rsid w:val="00A97B71"/>
    <w:rsid w:val="00AA0C21"/>
    <w:rsid w:val="00AA5221"/>
    <w:rsid w:val="00AA5511"/>
    <w:rsid w:val="00AB1E50"/>
    <w:rsid w:val="00AB1FD1"/>
    <w:rsid w:val="00AB7652"/>
    <w:rsid w:val="00AB7826"/>
    <w:rsid w:val="00AC2A5C"/>
    <w:rsid w:val="00AC3262"/>
    <w:rsid w:val="00AC5B9B"/>
    <w:rsid w:val="00AC69B9"/>
    <w:rsid w:val="00AD20EC"/>
    <w:rsid w:val="00AF1358"/>
    <w:rsid w:val="00B07887"/>
    <w:rsid w:val="00B15C98"/>
    <w:rsid w:val="00B21DE8"/>
    <w:rsid w:val="00B243F7"/>
    <w:rsid w:val="00B37A52"/>
    <w:rsid w:val="00B45C30"/>
    <w:rsid w:val="00B569FA"/>
    <w:rsid w:val="00B62D21"/>
    <w:rsid w:val="00B62DE7"/>
    <w:rsid w:val="00B63578"/>
    <w:rsid w:val="00B66F6B"/>
    <w:rsid w:val="00B766E2"/>
    <w:rsid w:val="00BA76ED"/>
    <w:rsid w:val="00BB06A3"/>
    <w:rsid w:val="00BC50AE"/>
    <w:rsid w:val="00BC5271"/>
    <w:rsid w:val="00BD65F0"/>
    <w:rsid w:val="00BE7F49"/>
    <w:rsid w:val="00BF3D1D"/>
    <w:rsid w:val="00BF3DB2"/>
    <w:rsid w:val="00C07A64"/>
    <w:rsid w:val="00C1366B"/>
    <w:rsid w:val="00C318C8"/>
    <w:rsid w:val="00C320C3"/>
    <w:rsid w:val="00C32A1B"/>
    <w:rsid w:val="00C45991"/>
    <w:rsid w:val="00C46903"/>
    <w:rsid w:val="00C4721C"/>
    <w:rsid w:val="00C53A68"/>
    <w:rsid w:val="00C63CCF"/>
    <w:rsid w:val="00C76944"/>
    <w:rsid w:val="00C77547"/>
    <w:rsid w:val="00C85E1A"/>
    <w:rsid w:val="00C86063"/>
    <w:rsid w:val="00CA138A"/>
    <w:rsid w:val="00CB3761"/>
    <w:rsid w:val="00CC37ED"/>
    <w:rsid w:val="00CD5940"/>
    <w:rsid w:val="00CE2B9F"/>
    <w:rsid w:val="00CE2DF5"/>
    <w:rsid w:val="00CE502D"/>
    <w:rsid w:val="00CF7F2C"/>
    <w:rsid w:val="00D003A6"/>
    <w:rsid w:val="00D04BC3"/>
    <w:rsid w:val="00D067DA"/>
    <w:rsid w:val="00D12569"/>
    <w:rsid w:val="00D14DDF"/>
    <w:rsid w:val="00D17AD6"/>
    <w:rsid w:val="00D24FB5"/>
    <w:rsid w:val="00D54655"/>
    <w:rsid w:val="00D5624D"/>
    <w:rsid w:val="00D63A50"/>
    <w:rsid w:val="00D7144E"/>
    <w:rsid w:val="00D9138D"/>
    <w:rsid w:val="00D930AB"/>
    <w:rsid w:val="00DA6B67"/>
    <w:rsid w:val="00DB79AE"/>
    <w:rsid w:val="00DD0A40"/>
    <w:rsid w:val="00DD1E59"/>
    <w:rsid w:val="00DE7D2F"/>
    <w:rsid w:val="00DF676F"/>
    <w:rsid w:val="00DF68E0"/>
    <w:rsid w:val="00DF7BB4"/>
    <w:rsid w:val="00E034D2"/>
    <w:rsid w:val="00E11EB5"/>
    <w:rsid w:val="00E2059D"/>
    <w:rsid w:val="00E3242D"/>
    <w:rsid w:val="00E52375"/>
    <w:rsid w:val="00E5619A"/>
    <w:rsid w:val="00E6353B"/>
    <w:rsid w:val="00E63B52"/>
    <w:rsid w:val="00E70E44"/>
    <w:rsid w:val="00E9328E"/>
    <w:rsid w:val="00E94F06"/>
    <w:rsid w:val="00E9505E"/>
    <w:rsid w:val="00EA7604"/>
    <w:rsid w:val="00EB5ED5"/>
    <w:rsid w:val="00EB6330"/>
    <w:rsid w:val="00EC6B72"/>
    <w:rsid w:val="00EC6DE1"/>
    <w:rsid w:val="00F07F32"/>
    <w:rsid w:val="00F11118"/>
    <w:rsid w:val="00F25A66"/>
    <w:rsid w:val="00F268B4"/>
    <w:rsid w:val="00F314D6"/>
    <w:rsid w:val="00F33B70"/>
    <w:rsid w:val="00F7506F"/>
    <w:rsid w:val="00F93EFC"/>
    <w:rsid w:val="00FA6EB7"/>
    <w:rsid w:val="00FB11B9"/>
    <w:rsid w:val="00FB1451"/>
    <w:rsid w:val="00FB4C02"/>
    <w:rsid w:val="00FB4C1E"/>
    <w:rsid w:val="00FC5206"/>
    <w:rsid w:val="00FC69C9"/>
    <w:rsid w:val="00FE1FE6"/>
    <w:rsid w:val="00FE3D3B"/>
    <w:rsid w:val="00FF791E"/>
    <w:rsid w:val="011E47B9"/>
    <w:rsid w:val="01A83321"/>
    <w:rsid w:val="02BC7D06"/>
    <w:rsid w:val="02DE7C7D"/>
    <w:rsid w:val="03E72B61"/>
    <w:rsid w:val="03FF1680"/>
    <w:rsid w:val="0518246A"/>
    <w:rsid w:val="072751FD"/>
    <w:rsid w:val="073065CD"/>
    <w:rsid w:val="076A642A"/>
    <w:rsid w:val="0A1C72DC"/>
    <w:rsid w:val="0A3208AE"/>
    <w:rsid w:val="0C963376"/>
    <w:rsid w:val="0CFB121A"/>
    <w:rsid w:val="0F2A424A"/>
    <w:rsid w:val="0FCD5301"/>
    <w:rsid w:val="108C6F6A"/>
    <w:rsid w:val="109776BD"/>
    <w:rsid w:val="112371A2"/>
    <w:rsid w:val="16BB64CF"/>
    <w:rsid w:val="16C80DC6"/>
    <w:rsid w:val="16E8367D"/>
    <w:rsid w:val="16ED0036"/>
    <w:rsid w:val="17042637"/>
    <w:rsid w:val="17FB49D5"/>
    <w:rsid w:val="1821055B"/>
    <w:rsid w:val="19426D4F"/>
    <w:rsid w:val="19BC72E3"/>
    <w:rsid w:val="1BBD1204"/>
    <w:rsid w:val="1C2269D4"/>
    <w:rsid w:val="1DCF0496"/>
    <w:rsid w:val="1E277D5A"/>
    <w:rsid w:val="201E7EC3"/>
    <w:rsid w:val="238E2BA1"/>
    <w:rsid w:val="24CA7C09"/>
    <w:rsid w:val="25F4564C"/>
    <w:rsid w:val="262E6120"/>
    <w:rsid w:val="271E2114"/>
    <w:rsid w:val="28A32C2B"/>
    <w:rsid w:val="29283150"/>
    <w:rsid w:val="2A7228D5"/>
    <w:rsid w:val="2BA86DD3"/>
    <w:rsid w:val="2D1563CE"/>
    <w:rsid w:val="2D177764"/>
    <w:rsid w:val="317F6C78"/>
    <w:rsid w:val="32AB3663"/>
    <w:rsid w:val="35447564"/>
    <w:rsid w:val="38253A2D"/>
    <w:rsid w:val="38284F1B"/>
    <w:rsid w:val="3A0451BC"/>
    <w:rsid w:val="3CB52AF5"/>
    <w:rsid w:val="4100250D"/>
    <w:rsid w:val="4103471A"/>
    <w:rsid w:val="422C4453"/>
    <w:rsid w:val="44B33DBE"/>
    <w:rsid w:val="45833790"/>
    <w:rsid w:val="473C3D0A"/>
    <w:rsid w:val="48E829AC"/>
    <w:rsid w:val="500072D8"/>
    <w:rsid w:val="511300BE"/>
    <w:rsid w:val="5391176E"/>
    <w:rsid w:val="5415414D"/>
    <w:rsid w:val="545D5AF4"/>
    <w:rsid w:val="55F316D6"/>
    <w:rsid w:val="5AAC3332"/>
    <w:rsid w:val="5BFF0E07"/>
    <w:rsid w:val="5D2673CB"/>
    <w:rsid w:val="5F13397F"/>
    <w:rsid w:val="62A40851"/>
    <w:rsid w:val="658670E4"/>
    <w:rsid w:val="65956E9C"/>
    <w:rsid w:val="65CD5B49"/>
    <w:rsid w:val="68B75523"/>
    <w:rsid w:val="690D143F"/>
    <w:rsid w:val="69DF102E"/>
    <w:rsid w:val="6A0445F0"/>
    <w:rsid w:val="6A4E3FBA"/>
    <w:rsid w:val="6BBB0026"/>
    <w:rsid w:val="6D3E68D8"/>
    <w:rsid w:val="6E96204F"/>
    <w:rsid w:val="6F864954"/>
    <w:rsid w:val="705D6067"/>
    <w:rsid w:val="716845E0"/>
    <w:rsid w:val="72A03019"/>
    <w:rsid w:val="73441F01"/>
    <w:rsid w:val="73F2195D"/>
    <w:rsid w:val="76A70D0E"/>
    <w:rsid w:val="7B163D26"/>
    <w:rsid w:val="7BD5365B"/>
    <w:rsid w:val="7BE92A89"/>
    <w:rsid w:val="7C4A0074"/>
    <w:rsid w:val="7C835849"/>
    <w:rsid w:val="7C9E41BD"/>
    <w:rsid w:val="7DEE1102"/>
    <w:rsid w:val="7F60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Indent 2"/>
    <w:basedOn w:val="1"/>
    <w:link w:val="19"/>
    <w:qFormat/>
    <w:uiPriority w:val="0"/>
    <w:pPr>
      <w:spacing w:line="300" w:lineRule="auto"/>
      <w:ind w:firstLine="425"/>
    </w:pPr>
    <w:rPr>
      <w:rFonts w:ascii="宋体" w:hAnsi="宋体"/>
      <w:szCs w:val="20"/>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sz w:val="20"/>
      <w:szCs w:val="20"/>
    </w:rPr>
  </w:style>
  <w:style w:type="paragraph" w:styleId="10">
    <w:name w:val="toc 2"/>
    <w:basedOn w:val="1"/>
    <w:next w:val="1"/>
    <w:qFormat/>
    <w:uiPriority w:val="39"/>
    <w:pPr>
      <w:ind w:left="210"/>
      <w:jc w:val="left"/>
    </w:pPr>
    <w:rPr>
      <w:smallCaps/>
      <w:sz w:val="20"/>
      <w:szCs w:val="20"/>
    </w:rPr>
  </w:style>
  <w:style w:type="paragraph" w:styleId="11">
    <w:name w:val="annotation subject"/>
    <w:basedOn w:val="4"/>
    <w:next w:val="4"/>
    <w:link w:val="21"/>
    <w:qFormat/>
    <w:uiPriority w:val="0"/>
    <w:rPr>
      <w:b/>
      <w:bCs/>
    </w:rPr>
  </w:style>
  <w:style w:type="character" w:styleId="14">
    <w:name w:val="Hyperlink"/>
    <w:qFormat/>
    <w:uiPriority w:val="99"/>
    <w:rPr>
      <w:rFonts w:hint="default" w:ascii="Times New Roman" w:hAnsi="Times New Roman" w:cs="Times New Roman"/>
      <w:color w:val="222222"/>
      <w:u w:val="none"/>
    </w:rPr>
  </w:style>
  <w:style w:type="character" w:styleId="15">
    <w:name w:val="annotation reference"/>
    <w:qFormat/>
    <w:uiPriority w:val="0"/>
    <w:rPr>
      <w:sz w:val="21"/>
      <w:szCs w:val="21"/>
    </w:rPr>
  </w:style>
  <w:style w:type="character" w:customStyle="1" w:styleId="16">
    <w:name w:val="标题 1 字符"/>
    <w:link w:val="2"/>
    <w:qFormat/>
    <w:locked/>
    <w:uiPriority w:val="0"/>
    <w:rPr>
      <w:rFonts w:eastAsia="宋体"/>
      <w:b/>
      <w:bCs/>
      <w:kern w:val="44"/>
      <w:sz w:val="44"/>
      <w:szCs w:val="44"/>
      <w:lang w:val="en-US" w:eastAsia="zh-CN" w:bidi="ar-SA"/>
    </w:rPr>
  </w:style>
  <w:style w:type="character" w:customStyle="1" w:styleId="17">
    <w:name w:val="标题 2 字符"/>
    <w:link w:val="3"/>
    <w:semiHidden/>
    <w:qFormat/>
    <w:locked/>
    <w:uiPriority w:val="0"/>
    <w:rPr>
      <w:rFonts w:ascii="Arial" w:hAnsi="Arial" w:eastAsia="黑体"/>
      <w:b/>
      <w:bCs/>
      <w:kern w:val="2"/>
      <w:sz w:val="32"/>
      <w:szCs w:val="32"/>
      <w:lang w:val="en-US" w:eastAsia="zh-CN" w:bidi="ar-SA"/>
    </w:rPr>
  </w:style>
  <w:style w:type="character" w:customStyle="1" w:styleId="18">
    <w:name w:val="批注文字 字符"/>
    <w:link w:val="4"/>
    <w:qFormat/>
    <w:uiPriority w:val="0"/>
    <w:rPr>
      <w:kern w:val="2"/>
      <w:sz w:val="21"/>
      <w:szCs w:val="24"/>
    </w:rPr>
  </w:style>
  <w:style w:type="character" w:customStyle="1" w:styleId="19">
    <w:name w:val="正文文本缩进 2 字符"/>
    <w:link w:val="5"/>
    <w:semiHidden/>
    <w:qFormat/>
    <w:locked/>
    <w:uiPriority w:val="0"/>
    <w:rPr>
      <w:rFonts w:ascii="宋体" w:hAnsi="宋体" w:eastAsia="宋体"/>
      <w:kern w:val="2"/>
      <w:sz w:val="21"/>
      <w:lang w:val="en-US" w:eastAsia="zh-CN" w:bidi="ar-SA"/>
    </w:rPr>
  </w:style>
  <w:style w:type="character" w:customStyle="1" w:styleId="20">
    <w:name w:val="批注框文本 字符"/>
    <w:link w:val="6"/>
    <w:qFormat/>
    <w:uiPriority w:val="0"/>
    <w:rPr>
      <w:kern w:val="2"/>
      <w:sz w:val="18"/>
      <w:szCs w:val="18"/>
    </w:rPr>
  </w:style>
  <w:style w:type="character" w:customStyle="1" w:styleId="21">
    <w:name w:val="批注主题 字符"/>
    <w:link w:val="11"/>
    <w:qFormat/>
    <w:uiPriority w:val="0"/>
    <w:rPr>
      <w:b/>
      <w:bCs/>
      <w:kern w:val="2"/>
      <w:sz w:val="21"/>
      <w:szCs w:val="24"/>
    </w:rPr>
  </w:style>
  <w:style w:type="character" w:customStyle="1" w:styleId="22">
    <w:name w:val="无间隔 字符1"/>
    <w:link w:val="23"/>
    <w:qFormat/>
    <w:uiPriority w:val="0"/>
    <w:rPr>
      <w:rFonts w:eastAsia="Times New Roman"/>
      <w:kern w:val="2"/>
      <w:sz w:val="21"/>
      <w:szCs w:val="24"/>
      <w:lang w:val="en-US" w:eastAsia="zh-CN" w:bidi="ar-SA"/>
    </w:rPr>
  </w:style>
  <w:style w:type="paragraph" w:styleId="23">
    <w:name w:val="No Spacing"/>
    <w:link w:val="22"/>
    <w:qFormat/>
    <w:uiPriority w:val="1"/>
    <w:pPr>
      <w:widowControl w:val="0"/>
      <w:jc w:val="both"/>
    </w:pPr>
    <w:rPr>
      <w:rFonts w:ascii="Times New Roman" w:hAnsi="Times New Roman" w:eastAsia="Times New Roman" w:cs="Times New Roman"/>
      <w:kern w:val="2"/>
      <w:sz w:val="21"/>
      <w:szCs w:val="24"/>
      <w:lang w:val="en-US" w:eastAsia="zh-CN" w:bidi="ar-SA"/>
    </w:rPr>
  </w:style>
  <w:style w:type="character" w:customStyle="1" w:styleId="24">
    <w:name w:val="Char Char8"/>
    <w:qFormat/>
    <w:uiPriority w:val="0"/>
    <w:rPr>
      <w:b/>
      <w:bCs/>
      <w:kern w:val="44"/>
      <w:sz w:val="44"/>
      <w:szCs w:val="44"/>
    </w:rPr>
  </w:style>
  <w:style w:type="character" w:customStyle="1" w:styleId="25">
    <w:name w:val="apple-converted-space"/>
    <w:qFormat/>
    <w:uiPriority w:val="0"/>
  </w:style>
  <w:style w:type="character" w:customStyle="1" w:styleId="26">
    <w:name w:val="无间隔 字符"/>
    <w:qFormat/>
    <w:uiPriority w:val="1"/>
    <w:rPr>
      <w:rFonts w:ascii="Calibri" w:hAnsi="Calibri" w:eastAsia="宋体" w:cs="Times New Roman"/>
      <w:kern w:val="0"/>
      <w:sz w:val="22"/>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msolistparagraph"/>
    <w:basedOn w:val="1"/>
    <w:qFormat/>
    <w:uiPriority w:val="0"/>
    <w:pPr>
      <w:ind w:firstLine="420" w:firstLineChars="200"/>
    </w:pPr>
  </w:style>
  <w:style w:type="paragraph" w:customStyle="1" w:styleId="30">
    <w:name w:val="_Style 3"/>
    <w:basedOn w:val="1"/>
    <w:qFormat/>
    <w:uiPriority w:val="0"/>
    <w:pPr>
      <w:ind w:firstLine="420" w:firstLineChars="200"/>
    </w:pPr>
    <w:rPr>
      <w:szCs w:val="21"/>
    </w:rPr>
  </w:style>
  <w:style w:type="paragraph" w:styleId="31">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1880</Words>
  <Characters>10719</Characters>
  <Lines>89</Lines>
  <Paragraphs>25</Paragraphs>
  <TotalTime>1625</TotalTime>
  <ScaleCrop>false</ScaleCrop>
  <LinksUpToDate>false</LinksUpToDate>
  <CharactersWithSpaces>12574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2024-12-24T07:51:00Z</dcterms:created>
  <dc:creator>微软用户</dc:creator>
  <cp:lastModifiedBy>三埔之叶</cp:lastModifiedBy>
  <cp:lastPrinted>2024-06-13T09:20:00Z</cp:lastPrinted>
  <dcterms:modified xsi:type="dcterms:W3CDTF">2025-10-17T08:08:33Z</dcterms:modified>
  <dc:title>厦门大学嘉庚学院服务器、电脑采购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FCC58F06DAEE4E2483215215BB7FFB0E_13</vt:lpwstr>
  </property>
</Properties>
</file>